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大标宋简体" w:hAnsi="华文中宋" w:eastAsia="方正大标宋简体"/>
        </w:rPr>
      </w:pPr>
      <w:bookmarkStart w:id="0" w:name="_Toc452930418"/>
      <w:r>
        <w:rPr>
          <w:rFonts w:ascii="方正大标宋简体" w:hAnsi="宋体" w:eastAsia="方正大标宋简体"/>
        </w:rPr>
        <w:t>201</w:t>
      </w:r>
      <w:r>
        <w:rPr>
          <w:rFonts w:hint="eastAsia" w:ascii="方正大标宋简体" w:hAnsi="宋体" w:eastAsia="方正大标宋简体"/>
        </w:rPr>
        <w:t>7</w:t>
      </w:r>
      <w:r>
        <w:rPr>
          <w:rFonts w:hint="eastAsia" w:ascii="方正大标宋简体" w:hAnsi="华文中宋" w:eastAsia="方正大标宋简体" w:cs="Arial"/>
        </w:rPr>
        <w:t>年</w:t>
      </w:r>
      <w:r>
        <w:rPr>
          <w:rFonts w:hint="eastAsia" w:ascii="方正大标宋简体" w:hAnsi="华文中宋" w:eastAsia="方正大标宋简体"/>
        </w:rPr>
        <w:t>山西省环境状况公报</w:t>
      </w:r>
      <w:bookmarkEnd w:id="0"/>
    </w:p>
    <w:p/>
    <w:p>
      <w:pPr>
        <w:spacing w:beforeLines="50" w:afterLines="50"/>
        <w:jc w:val="center"/>
        <w:rPr>
          <w:rFonts w:hint="eastAsia"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概   述</w:t>
      </w:r>
    </w:p>
    <w:p>
      <w:pPr>
        <w:spacing w:line="360" w:lineRule="auto"/>
        <w:ind w:firstLine="560" w:firstLineChars="200"/>
        <w:rPr>
          <w:rFonts w:hint="eastAsia" w:eastAsia="仿宋_GB2312"/>
          <w:sz w:val="28"/>
          <w:szCs w:val="28"/>
        </w:rPr>
      </w:pPr>
      <w:r>
        <w:rPr>
          <w:rFonts w:hint="eastAsia" w:eastAsia="仿宋_GB2312"/>
          <w:sz w:val="28"/>
          <w:szCs w:val="28"/>
        </w:rPr>
        <w:t>2017年，全省环保系统深入学习贯彻党的十九大精神，坚决贯彻落实省委省政府决策部署，以改善环境质量为核心，不断强化措施，奋力拼搏，各项工作取得了明显成效，特别是从秋冬季以来，全省环境空气质量从直观感觉上有了明显的好转。</w:t>
      </w:r>
    </w:p>
    <w:p>
      <w:pPr>
        <w:spacing w:line="360" w:lineRule="auto"/>
        <w:ind w:firstLine="560" w:firstLineChars="200"/>
        <w:rPr>
          <w:rFonts w:hint="eastAsia" w:eastAsia="仿宋_GB2312"/>
          <w:sz w:val="28"/>
          <w:szCs w:val="28"/>
        </w:rPr>
      </w:pPr>
      <w:r>
        <w:rPr>
          <w:rFonts w:hint="eastAsia" w:eastAsia="仿宋_GB2312"/>
          <w:sz w:val="28"/>
          <w:szCs w:val="28"/>
        </w:rPr>
        <w:t>2017年，全省11个地级市年度环境空气质量均超过二级标准</w:t>
      </w:r>
      <w:r>
        <w:rPr>
          <w:rFonts w:hint="eastAsia" w:eastAsia="仿宋_GB2312"/>
          <w:sz w:val="28"/>
          <w:szCs w:val="28"/>
          <w:lang w:eastAsia="zh-CN"/>
        </w:rPr>
        <w:t>，</w:t>
      </w:r>
      <w:r>
        <w:rPr>
          <w:rFonts w:hint="eastAsia" w:eastAsia="仿宋_GB2312"/>
          <w:sz w:val="28"/>
          <w:szCs w:val="28"/>
        </w:rPr>
        <w:t>11个地级市环境空气质量达标天数平均为200天，占全年有效监测天数的57.1%，比2016年下降10.8个百分点。11个地级市重污染天数平均为13天，占全年有效监测天数的3.7%，比2016年下降1.9个百分点。2017年全省地表水水质属中度污染。按照《地表水环境质量标准》（GB3838-2002）进行评价，在监测的100个断面中，水质优良（Ⅰ～Ⅲ类）的断面56个，占监测断面总数的56.0%，同比上升8.0个百分点；重度污染（劣Ⅴ类）的断面23个，占23.0%，同比下降5.0个百分点。与2016年相比，全省地表水环境质量有所好转。全省城市区域环境噪声平均等效声级为52.8dB(A)，城市区域声环境质量级别为“较好”，与2016年相比，平均等效声级和质量级别均无变化。全省辐射环境质量总体良好，其中环境电离辐射水平处于本底涨落范围内，电磁环境质量状况良好。</w:t>
      </w:r>
    </w:p>
    <w:p>
      <w:pPr>
        <w:spacing w:line="360" w:lineRule="auto"/>
        <w:ind w:firstLine="560" w:firstLineChars="200"/>
        <w:rPr>
          <w:rFonts w:hint="eastAsia" w:eastAsia="仿宋_GB2312"/>
          <w:sz w:val="28"/>
          <w:szCs w:val="28"/>
        </w:rPr>
      </w:pPr>
      <w:r>
        <w:rPr>
          <w:rFonts w:hint="eastAsia" w:eastAsia="仿宋_GB2312"/>
          <w:sz w:val="28"/>
          <w:szCs w:val="28"/>
        </w:rPr>
        <w:t>经</w:t>
      </w:r>
      <w:r>
        <w:rPr>
          <w:rFonts w:hint="eastAsia" w:eastAsia="仿宋_GB2312"/>
          <w:sz w:val="28"/>
          <w:szCs w:val="28"/>
          <w:lang w:eastAsia="zh-CN"/>
        </w:rPr>
        <w:t>生态</w:t>
      </w:r>
      <w:r>
        <w:rPr>
          <w:rFonts w:hint="eastAsia" w:eastAsia="仿宋_GB2312"/>
          <w:sz w:val="28"/>
          <w:szCs w:val="28"/>
        </w:rPr>
        <w:t>环境部初步核查，2017年，全省化学需氧量排放量较2015年削减11.99%，重点工程较2015年减排4.14万吨；氨氮排放量较2015年削减9.68%，重点工程较2015年减排0.42万吨。全省二氧化硫排放总量较2015年下降10.9%，重点工程较2015年减排11.7万吨；氮氧化物排放总量较2015年下降10.4%，重点工程较2015年减排10.3万吨。</w:t>
      </w:r>
    </w:p>
    <w:p>
      <w:pPr>
        <w:spacing w:line="360" w:lineRule="auto"/>
        <w:ind w:firstLine="560" w:firstLineChars="200"/>
        <w:rPr>
          <w:rFonts w:hint="eastAsia" w:eastAsia="仿宋_GB2312"/>
          <w:sz w:val="28"/>
          <w:szCs w:val="28"/>
        </w:rPr>
      </w:pPr>
      <w:r>
        <w:rPr>
          <w:rFonts w:hint="eastAsia" w:eastAsia="仿宋_GB2312"/>
          <w:sz w:val="28"/>
          <w:szCs w:val="28"/>
        </w:rPr>
        <w:t>但是，在肯定成绩的同时，我们也必须清醒地认识到：我省环境保护面临的形势依然严峻，环境保护仍面临诸多制度性、体制性难题，环境质量改善的基础十分脆弱，从一定程度上讲，环境质量的改善客观上还依赖于气象条件的好转。我们今后的任务更加艰巨、担子更加繁重、责任更加重大、使命更加光荣。</w:t>
      </w:r>
    </w:p>
    <w:p>
      <w:pPr>
        <w:spacing w:line="360" w:lineRule="auto"/>
        <w:ind w:firstLine="560" w:firstLineChars="200"/>
        <w:rPr>
          <w:rFonts w:hint="eastAsia" w:eastAsia="仿宋_GB2312"/>
          <w:sz w:val="28"/>
          <w:szCs w:val="28"/>
        </w:rPr>
      </w:pPr>
    </w:p>
    <w:p>
      <w:pPr>
        <w:spacing w:line="620" w:lineRule="exact"/>
        <w:ind w:firstLine="640" w:firstLineChars="200"/>
        <w:rPr>
          <w:rFonts w:ascii="仿宋" w:hAnsi="仿宋" w:eastAsia="仿宋"/>
          <w:color w:val="FF0000"/>
          <w:sz w:val="32"/>
          <w:szCs w:val="32"/>
        </w:rPr>
      </w:pPr>
    </w:p>
    <w:p>
      <w:pPr>
        <w:spacing w:line="620" w:lineRule="exact"/>
        <w:ind w:firstLine="640" w:firstLineChars="200"/>
        <w:rPr>
          <w:rFonts w:ascii="仿宋" w:hAnsi="仿宋" w:eastAsia="仿宋"/>
          <w:color w:val="FF0000"/>
          <w:sz w:val="32"/>
          <w:szCs w:val="32"/>
        </w:rPr>
      </w:pPr>
    </w:p>
    <w:p>
      <w:pPr>
        <w:spacing w:line="620" w:lineRule="exact"/>
        <w:ind w:firstLine="640" w:firstLineChars="200"/>
        <w:rPr>
          <w:rFonts w:ascii="仿宋" w:hAnsi="仿宋" w:eastAsia="仿宋"/>
          <w:color w:val="FF0000"/>
          <w:sz w:val="32"/>
          <w:szCs w:val="32"/>
        </w:rPr>
      </w:pPr>
    </w:p>
    <w:p>
      <w:pPr>
        <w:spacing w:line="620" w:lineRule="exact"/>
        <w:ind w:firstLine="640" w:firstLineChars="200"/>
        <w:rPr>
          <w:rFonts w:ascii="仿宋" w:hAnsi="仿宋" w:eastAsia="仿宋"/>
          <w:color w:val="FF0000"/>
          <w:sz w:val="32"/>
          <w:szCs w:val="32"/>
        </w:rPr>
      </w:pPr>
    </w:p>
    <w:p>
      <w:pPr>
        <w:spacing w:line="620" w:lineRule="exact"/>
        <w:ind w:firstLine="640" w:firstLineChars="200"/>
        <w:rPr>
          <w:rFonts w:ascii="仿宋" w:hAnsi="仿宋" w:eastAsia="仿宋"/>
          <w:color w:val="FF0000"/>
          <w:sz w:val="32"/>
          <w:szCs w:val="32"/>
        </w:rPr>
      </w:pPr>
    </w:p>
    <w:p>
      <w:pPr>
        <w:spacing w:line="620" w:lineRule="exact"/>
        <w:ind w:firstLine="640" w:firstLineChars="200"/>
        <w:rPr>
          <w:rFonts w:ascii="仿宋" w:hAnsi="仿宋" w:eastAsia="仿宋"/>
          <w:color w:val="FF0000"/>
          <w:sz w:val="32"/>
          <w:szCs w:val="32"/>
        </w:rPr>
      </w:pPr>
    </w:p>
    <w:p>
      <w:pPr>
        <w:spacing w:line="620" w:lineRule="exact"/>
        <w:ind w:firstLine="640" w:firstLineChars="200"/>
        <w:rPr>
          <w:rFonts w:ascii="仿宋" w:hAnsi="仿宋" w:eastAsia="仿宋"/>
          <w:color w:val="FF0000"/>
          <w:sz w:val="32"/>
          <w:szCs w:val="32"/>
        </w:rPr>
      </w:pPr>
    </w:p>
    <w:p>
      <w:pPr>
        <w:spacing w:line="620" w:lineRule="exact"/>
        <w:ind w:firstLine="640" w:firstLineChars="200"/>
        <w:rPr>
          <w:rFonts w:ascii="仿宋" w:hAnsi="仿宋" w:eastAsia="仿宋"/>
          <w:color w:val="FF0000"/>
          <w:sz w:val="32"/>
          <w:szCs w:val="32"/>
        </w:rPr>
      </w:pPr>
    </w:p>
    <w:p>
      <w:pPr>
        <w:spacing w:line="620" w:lineRule="exact"/>
        <w:ind w:firstLine="640" w:firstLineChars="200"/>
        <w:rPr>
          <w:rFonts w:ascii="仿宋" w:hAnsi="仿宋" w:eastAsia="仿宋"/>
          <w:color w:val="FF0000"/>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ascii="方正大标宋简体" w:hAnsi="华文中宋" w:eastAsia="方正大标宋简体"/>
          <w:sz w:val="44"/>
          <w:szCs w:val="44"/>
        </w:rPr>
      </w:pPr>
    </w:p>
    <w:p>
      <w:pPr>
        <w:pStyle w:val="4"/>
        <w:spacing w:beforeLines="50" w:afterLines="50" w:line="360" w:lineRule="auto"/>
        <w:ind w:firstLine="2880" w:firstLineChars="900"/>
        <w:rPr>
          <w:rFonts w:hint="eastAsia" w:ascii="黑体" w:eastAsia="黑体"/>
          <w:sz w:val="32"/>
          <w:szCs w:val="32"/>
        </w:rPr>
      </w:pPr>
      <w:r>
        <w:rPr>
          <w:rFonts w:hint="eastAsia" w:ascii="黑体" w:eastAsia="黑体"/>
          <w:sz w:val="32"/>
          <w:szCs w:val="32"/>
        </w:rPr>
        <w:t>环境质量状况</w:t>
      </w:r>
    </w:p>
    <w:p>
      <w:pPr>
        <w:pStyle w:val="4"/>
        <w:spacing w:beforeLines="50" w:afterLines="50" w:line="360" w:lineRule="auto"/>
        <w:rPr>
          <w:rFonts w:ascii="黑体" w:eastAsia="黑体"/>
          <w:sz w:val="32"/>
          <w:szCs w:val="32"/>
        </w:rPr>
      </w:pPr>
      <w:r>
        <w:rPr>
          <w:rFonts w:hint="eastAsia" w:ascii="黑体" w:eastAsia="黑体"/>
          <w:sz w:val="32"/>
          <w:szCs w:val="32"/>
        </w:rPr>
        <w:t>环境空气</w:t>
      </w:r>
    </w:p>
    <w:p>
      <w:pPr>
        <w:spacing w:line="360" w:lineRule="auto"/>
        <w:ind w:firstLine="561"/>
        <w:rPr>
          <w:rFonts w:eastAsia="仿宋_GB2312"/>
          <w:sz w:val="28"/>
          <w:szCs w:val="28"/>
        </w:rPr>
      </w:pPr>
      <w:r>
        <w:rPr>
          <w:rFonts w:eastAsia="仿宋_GB2312"/>
          <w:sz w:val="28"/>
          <w:szCs w:val="28"/>
        </w:rPr>
        <w:t>按照《环境空气质量标准》（GB3095-2012）评价</w:t>
      </w:r>
      <w:r>
        <w:rPr>
          <w:rFonts w:eastAsia="仿宋_GB2312"/>
          <w:sz w:val="28"/>
          <w:szCs w:val="28"/>
          <w:vertAlign w:val="superscript"/>
        </w:rPr>
        <w:t>*</w:t>
      </w:r>
      <w:r>
        <w:rPr>
          <w:rFonts w:eastAsia="仿宋_GB2312"/>
          <w:sz w:val="28"/>
          <w:szCs w:val="28"/>
        </w:rPr>
        <w:t>，201</w:t>
      </w:r>
      <w:r>
        <w:rPr>
          <w:rFonts w:hint="eastAsia" w:eastAsia="仿宋_GB2312"/>
          <w:sz w:val="28"/>
          <w:szCs w:val="28"/>
        </w:rPr>
        <w:t>7</w:t>
      </w:r>
      <w:r>
        <w:rPr>
          <w:rFonts w:eastAsia="仿宋_GB2312"/>
          <w:sz w:val="28"/>
          <w:szCs w:val="28"/>
        </w:rPr>
        <w:t>年，全省11个地级市</w:t>
      </w:r>
      <w:r>
        <w:rPr>
          <w:rFonts w:hint="eastAsia" w:eastAsia="仿宋_GB2312"/>
          <w:sz w:val="28"/>
          <w:szCs w:val="28"/>
        </w:rPr>
        <w:t>年度</w:t>
      </w:r>
      <w:r>
        <w:rPr>
          <w:rFonts w:eastAsia="仿宋_GB2312"/>
          <w:sz w:val="28"/>
          <w:szCs w:val="28"/>
        </w:rPr>
        <w:t>环境空气质量均</w:t>
      </w:r>
      <w:r>
        <w:rPr>
          <w:rFonts w:hint="eastAsia" w:eastAsia="仿宋_GB2312"/>
          <w:sz w:val="28"/>
          <w:szCs w:val="28"/>
        </w:rPr>
        <w:t>超过二级标准</w:t>
      </w:r>
      <w:r>
        <w:rPr>
          <w:rFonts w:eastAsia="仿宋_GB2312"/>
          <w:sz w:val="28"/>
          <w:szCs w:val="28"/>
        </w:rPr>
        <w:t>。</w:t>
      </w:r>
    </w:p>
    <w:p>
      <w:pPr>
        <w:spacing w:line="360" w:lineRule="auto"/>
        <w:ind w:firstLine="561"/>
        <w:rPr>
          <w:rFonts w:eastAsia="仿宋_GB2312"/>
          <w:sz w:val="28"/>
          <w:szCs w:val="28"/>
        </w:rPr>
      </w:pPr>
      <w:r>
        <w:rPr>
          <w:rFonts w:eastAsia="仿宋_GB2312"/>
          <w:sz w:val="28"/>
          <w:szCs w:val="28"/>
        </w:rPr>
        <w:t>201</w:t>
      </w:r>
      <w:r>
        <w:rPr>
          <w:rFonts w:hint="eastAsia" w:eastAsia="仿宋_GB2312"/>
          <w:sz w:val="28"/>
          <w:szCs w:val="28"/>
        </w:rPr>
        <w:t>7</w:t>
      </w:r>
      <w:r>
        <w:rPr>
          <w:rFonts w:eastAsia="仿宋_GB2312"/>
          <w:sz w:val="28"/>
          <w:szCs w:val="28"/>
        </w:rPr>
        <w:t>年，11个地级市达标天数平均为</w:t>
      </w:r>
      <w:r>
        <w:rPr>
          <w:rFonts w:hint="eastAsia" w:eastAsia="仿宋_GB2312"/>
          <w:sz w:val="28"/>
          <w:szCs w:val="28"/>
        </w:rPr>
        <w:t>200</w:t>
      </w:r>
      <w:r>
        <w:rPr>
          <w:rFonts w:eastAsia="仿宋_GB2312"/>
          <w:sz w:val="28"/>
          <w:szCs w:val="28"/>
        </w:rPr>
        <w:t>天，占全年有效监测天数的</w:t>
      </w:r>
      <w:r>
        <w:rPr>
          <w:rFonts w:hint="eastAsia" w:eastAsia="仿宋_GB2312"/>
          <w:sz w:val="28"/>
          <w:szCs w:val="28"/>
        </w:rPr>
        <w:t>57.1</w:t>
      </w:r>
      <w:r>
        <w:rPr>
          <w:rFonts w:eastAsia="仿宋_GB2312"/>
          <w:sz w:val="28"/>
          <w:szCs w:val="28"/>
        </w:rPr>
        <w:t>%</w:t>
      </w:r>
      <w:r>
        <w:rPr>
          <w:rFonts w:hint="eastAsia" w:eastAsia="仿宋_GB2312"/>
          <w:sz w:val="28"/>
          <w:szCs w:val="28"/>
        </w:rPr>
        <w:t>，</w:t>
      </w:r>
      <w:r>
        <w:rPr>
          <w:rFonts w:eastAsia="仿宋_GB2312"/>
          <w:sz w:val="28"/>
          <w:szCs w:val="28"/>
        </w:rPr>
        <w:t>比201</w:t>
      </w:r>
      <w:r>
        <w:rPr>
          <w:rFonts w:hint="eastAsia" w:eastAsia="仿宋_GB2312"/>
          <w:sz w:val="28"/>
          <w:szCs w:val="28"/>
        </w:rPr>
        <w:t>6</w:t>
      </w:r>
      <w:r>
        <w:rPr>
          <w:rFonts w:eastAsia="仿宋_GB2312"/>
          <w:sz w:val="28"/>
          <w:szCs w:val="28"/>
        </w:rPr>
        <w:t>年</w:t>
      </w:r>
      <w:r>
        <w:rPr>
          <w:rFonts w:hint="eastAsia" w:eastAsia="仿宋_GB2312"/>
          <w:sz w:val="28"/>
          <w:szCs w:val="28"/>
        </w:rPr>
        <w:t>下降10.8</w:t>
      </w:r>
      <w:r>
        <w:rPr>
          <w:rFonts w:eastAsia="仿宋_GB2312"/>
          <w:sz w:val="28"/>
          <w:szCs w:val="28"/>
        </w:rPr>
        <w:t>个百分点</w:t>
      </w:r>
      <w:r>
        <w:rPr>
          <w:rFonts w:hint="eastAsia" w:eastAsia="仿宋_GB2312"/>
          <w:sz w:val="28"/>
          <w:szCs w:val="28"/>
        </w:rPr>
        <w:t>。</w:t>
      </w:r>
      <w:r>
        <w:rPr>
          <w:rFonts w:eastAsia="仿宋_GB2312"/>
          <w:sz w:val="28"/>
          <w:szCs w:val="28"/>
        </w:rPr>
        <w:t>11个地级市中，</w:t>
      </w:r>
      <w:r>
        <w:rPr>
          <w:rFonts w:hint="eastAsia" w:eastAsia="仿宋_GB2312"/>
          <w:sz w:val="28"/>
          <w:szCs w:val="28"/>
        </w:rPr>
        <w:t>大同、吕梁、朔州、忻州4个市</w:t>
      </w:r>
      <w:r>
        <w:rPr>
          <w:rFonts w:eastAsia="仿宋_GB2312"/>
          <w:sz w:val="28"/>
          <w:szCs w:val="28"/>
        </w:rPr>
        <w:t>达标天数高于全省平均水平，占地级市的</w:t>
      </w:r>
      <w:r>
        <w:rPr>
          <w:rFonts w:hint="eastAsia" w:eastAsia="仿宋_GB2312"/>
          <w:sz w:val="28"/>
          <w:szCs w:val="28"/>
        </w:rPr>
        <w:t>36.4</w:t>
      </w:r>
      <w:r>
        <w:rPr>
          <w:rFonts w:eastAsia="仿宋_GB2312"/>
          <w:sz w:val="28"/>
          <w:szCs w:val="28"/>
        </w:rPr>
        <w:t>%。11个地级市达标天数排序见图1。</w:t>
      </w:r>
    </w:p>
    <w:p>
      <w:pPr>
        <w:jc w:val="center"/>
      </w:pPr>
      <w:r>
        <w:drawing>
          <wp:inline distT="0" distB="0" distL="0" distR="0">
            <wp:extent cx="5283835" cy="2279015"/>
            <wp:effectExtent l="0" t="0" r="0" b="0"/>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560"/>
        <w:rPr>
          <w:rFonts w:eastAsia="仿宋_GB2312"/>
          <w:sz w:val="28"/>
          <w:szCs w:val="28"/>
        </w:rPr>
      </w:pPr>
      <w:r>
        <w:rPr>
          <w:rFonts w:hint="eastAsia" w:eastAsia="仿宋_GB2312"/>
          <w:sz w:val="28"/>
          <w:szCs w:val="28"/>
        </w:rPr>
        <w:t>2017年，11个地级市重污染天数平均为13天，占全年有效监测天数的3.7%，比2016年下降1.9个百分点。</w:t>
      </w:r>
      <w:r>
        <w:rPr>
          <w:rFonts w:eastAsia="仿宋_GB2312"/>
          <w:sz w:val="28"/>
          <w:szCs w:val="28"/>
        </w:rPr>
        <w:t>11个地级市重污染天数排序见图2。</w:t>
      </w:r>
    </w:p>
    <w:p>
      <w:pPr>
        <w:spacing w:line="580" w:lineRule="exact"/>
        <w:ind w:firstLine="560"/>
        <w:rPr>
          <w:color w:val="FF0000"/>
        </w:rPr>
      </w:pPr>
    </w:p>
    <w:p>
      <w:pPr>
        <w:spacing w:line="580" w:lineRule="exact"/>
        <w:ind w:firstLine="560"/>
        <w:rPr>
          <w:color w:val="FF0000"/>
        </w:rPr>
        <w:sectPr>
          <w:footerReference r:id="rId4" w:type="default"/>
          <w:pgSz w:w="11906" w:h="16838"/>
          <w:pgMar w:top="1440" w:right="1800" w:bottom="1440" w:left="1800" w:header="851" w:footer="992" w:gutter="0"/>
          <w:cols w:space="425" w:num="1"/>
          <w:docGrid w:type="lines" w:linePitch="312" w:charSpace="0"/>
        </w:sectPr>
      </w:pPr>
    </w:p>
    <w:p>
      <w:pPr>
        <w:jc w:val="center"/>
      </w:pPr>
      <w:r>
        <w:drawing>
          <wp:inline distT="0" distB="0" distL="0" distR="0">
            <wp:extent cx="5283835" cy="2393315"/>
            <wp:effectExtent l="0" t="0" r="0" b="0"/>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ind w:firstLine="560" w:firstLineChars="200"/>
        <w:rPr>
          <w:rFonts w:ascii="仿宋_GB2312" w:eastAsia="仿宋_GB2312"/>
          <w:color w:val="FF0000"/>
          <w:sz w:val="28"/>
          <w:szCs w:val="28"/>
        </w:rPr>
      </w:pPr>
      <w:r>
        <w:rPr>
          <w:rFonts w:hint="eastAsia" w:eastAsia="仿宋_GB2312"/>
          <w:sz w:val="28"/>
          <w:szCs w:val="28"/>
        </w:rPr>
        <w:t>2017年，</w:t>
      </w:r>
      <w:r>
        <w:rPr>
          <w:rFonts w:eastAsia="仿宋_GB2312"/>
          <w:sz w:val="28"/>
          <w:szCs w:val="28"/>
        </w:rPr>
        <w:t>11个地级市环境空气质量综合指数介于</w:t>
      </w:r>
      <w:r>
        <w:rPr>
          <w:rFonts w:hint="eastAsia" w:eastAsia="仿宋_GB2312"/>
          <w:sz w:val="28"/>
          <w:szCs w:val="28"/>
        </w:rPr>
        <w:t>5.31～8.60</w:t>
      </w:r>
      <w:r>
        <w:rPr>
          <w:rFonts w:eastAsia="仿宋_GB2312"/>
          <w:sz w:val="28"/>
          <w:szCs w:val="28"/>
        </w:rPr>
        <w:t>之间，综合指数</w:t>
      </w:r>
      <w:r>
        <w:rPr>
          <w:rFonts w:hint="eastAsia" w:eastAsia="仿宋_GB2312"/>
          <w:sz w:val="28"/>
          <w:szCs w:val="28"/>
        </w:rPr>
        <w:t>由高到低</w:t>
      </w:r>
      <w:r>
        <w:rPr>
          <w:rFonts w:eastAsia="仿宋_GB2312"/>
          <w:sz w:val="28"/>
          <w:szCs w:val="28"/>
        </w:rPr>
        <w:t>排名前3位的是</w:t>
      </w:r>
      <w:r>
        <w:rPr>
          <w:rFonts w:hint="eastAsia" w:eastAsia="仿宋_GB2312"/>
          <w:sz w:val="28"/>
          <w:szCs w:val="28"/>
        </w:rPr>
        <w:t>临汾市、晋城市和太原市</w:t>
      </w:r>
      <w:r>
        <w:rPr>
          <w:rFonts w:eastAsia="仿宋_GB2312"/>
          <w:sz w:val="28"/>
          <w:szCs w:val="28"/>
        </w:rPr>
        <w:t>。与201</w:t>
      </w:r>
      <w:r>
        <w:rPr>
          <w:rFonts w:hint="eastAsia" w:eastAsia="仿宋_GB2312"/>
          <w:sz w:val="28"/>
          <w:szCs w:val="28"/>
        </w:rPr>
        <w:t>6</w:t>
      </w:r>
      <w:r>
        <w:rPr>
          <w:rFonts w:eastAsia="仿宋_GB2312"/>
          <w:sz w:val="28"/>
          <w:szCs w:val="28"/>
        </w:rPr>
        <w:t>年相比，</w:t>
      </w:r>
      <w:r>
        <w:rPr>
          <w:rFonts w:hint="eastAsia" w:eastAsia="仿宋_GB2312"/>
          <w:sz w:val="28"/>
          <w:szCs w:val="28"/>
        </w:rPr>
        <w:t>朔州、长治和阳泉3个</w:t>
      </w:r>
      <w:r>
        <w:rPr>
          <w:rFonts w:eastAsia="仿宋_GB2312"/>
          <w:sz w:val="28"/>
          <w:szCs w:val="28"/>
        </w:rPr>
        <w:t>市综合指数下降，</w:t>
      </w:r>
      <w:r>
        <w:rPr>
          <w:rFonts w:hint="eastAsia" w:eastAsia="仿宋_GB2312"/>
          <w:sz w:val="28"/>
          <w:szCs w:val="28"/>
        </w:rPr>
        <w:t>环境空气质量有所改善；其余8个市环境空气质量综合指数上升，环境空气质量有所恶化。</w:t>
      </w:r>
    </w:p>
    <w:p>
      <w:r>
        <w:drawing>
          <wp:inline distT="0" distB="0" distL="0" distR="0">
            <wp:extent cx="5274310" cy="2282190"/>
            <wp:effectExtent l="0" t="0" r="0" b="0"/>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560"/>
        <w:rPr>
          <w:rFonts w:eastAsia="仿宋_GB2312"/>
          <w:sz w:val="28"/>
          <w:szCs w:val="28"/>
        </w:rPr>
      </w:pPr>
      <w:r>
        <w:rPr>
          <w:rFonts w:eastAsia="仿宋_GB2312"/>
          <w:sz w:val="28"/>
          <w:szCs w:val="28"/>
        </w:rPr>
        <w:t>201</w:t>
      </w:r>
      <w:r>
        <w:rPr>
          <w:rFonts w:hint="eastAsia" w:eastAsia="仿宋_GB2312"/>
          <w:sz w:val="28"/>
          <w:szCs w:val="28"/>
        </w:rPr>
        <w:t>7</w:t>
      </w:r>
      <w:r>
        <w:rPr>
          <w:rFonts w:eastAsia="仿宋_GB2312"/>
          <w:sz w:val="28"/>
          <w:szCs w:val="28"/>
        </w:rPr>
        <w:t>年，11个地级市环境空气SO</w:t>
      </w:r>
      <w:r>
        <w:rPr>
          <w:rFonts w:eastAsia="仿宋_GB2312"/>
          <w:sz w:val="28"/>
          <w:szCs w:val="28"/>
          <w:vertAlign w:val="subscript"/>
        </w:rPr>
        <w:t>2</w:t>
      </w:r>
      <w:r>
        <w:rPr>
          <w:rFonts w:eastAsia="仿宋_GB2312"/>
          <w:sz w:val="28"/>
          <w:szCs w:val="28"/>
        </w:rPr>
        <w:t>、NO</w:t>
      </w:r>
      <w:r>
        <w:rPr>
          <w:rFonts w:eastAsia="仿宋_GB2312"/>
          <w:sz w:val="28"/>
          <w:szCs w:val="28"/>
          <w:vertAlign w:val="subscript"/>
        </w:rPr>
        <w:t>2</w:t>
      </w:r>
      <w:r>
        <w:rPr>
          <w:rFonts w:eastAsia="仿宋_GB2312"/>
          <w:sz w:val="28"/>
          <w:szCs w:val="28"/>
        </w:rPr>
        <w:t>、PM</w:t>
      </w:r>
      <w:r>
        <w:rPr>
          <w:rFonts w:eastAsia="仿宋_GB2312"/>
          <w:sz w:val="28"/>
          <w:szCs w:val="28"/>
          <w:vertAlign w:val="subscript"/>
        </w:rPr>
        <w:t>10</w:t>
      </w:r>
      <w:r>
        <w:rPr>
          <w:rFonts w:eastAsia="仿宋_GB2312"/>
          <w:sz w:val="28"/>
          <w:szCs w:val="28"/>
        </w:rPr>
        <w:t>、PM</w:t>
      </w:r>
      <w:r>
        <w:rPr>
          <w:rFonts w:eastAsia="仿宋_GB2312"/>
          <w:sz w:val="28"/>
          <w:szCs w:val="28"/>
          <w:vertAlign w:val="subscript"/>
        </w:rPr>
        <w:t>2.5</w:t>
      </w:r>
      <w:r>
        <w:rPr>
          <w:rFonts w:eastAsia="仿宋_GB2312"/>
          <w:sz w:val="28"/>
          <w:szCs w:val="28"/>
        </w:rPr>
        <w:t>年均浓度分别为56µg/m</w:t>
      </w:r>
      <w:r>
        <w:rPr>
          <w:rFonts w:eastAsia="仿宋_GB2312"/>
          <w:sz w:val="28"/>
          <w:szCs w:val="28"/>
          <w:vertAlign w:val="superscript"/>
        </w:rPr>
        <w:t>3</w:t>
      </w:r>
      <w:r>
        <w:rPr>
          <w:rFonts w:eastAsia="仿宋_GB2312"/>
          <w:sz w:val="28"/>
          <w:szCs w:val="28"/>
        </w:rPr>
        <w:t>、</w:t>
      </w:r>
      <w:r>
        <w:rPr>
          <w:rFonts w:hint="eastAsia" w:eastAsia="仿宋_GB2312"/>
          <w:sz w:val="28"/>
          <w:szCs w:val="28"/>
        </w:rPr>
        <w:t>42</w:t>
      </w:r>
      <w:r>
        <w:rPr>
          <w:rFonts w:eastAsia="仿宋_GB2312"/>
          <w:sz w:val="28"/>
          <w:szCs w:val="28"/>
        </w:rPr>
        <w:t>µg/m</w:t>
      </w:r>
      <w:r>
        <w:rPr>
          <w:rFonts w:eastAsia="仿宋_GB2312"/>
          <w:sz w:val="28"/>
          <w:szCs w:val="28"/>
          <w:vertAlign w:val="superscript"/>
        </w:rPr>
        <w:t>3</w:t>
      </w:r>
      <w:r>
        <w:rPr>
          <w:rFonts w:eastAsia="仿宋_GB2312"/>
          <w:sz w:val="28"/>
          <w:szCs w:val="28"/>
        </w:rPr>
        <w:t>、</w:t>
      </w:r>
      <w:r>
        <w:rPr>
          <w:rFonts w:hint="eastAsia" w:eastAsia="仿宋_GB2312"/>
          <w:sz w:val="28"/>
          <w:szCs w:val="28"/>
        </w:rPr>
        <w:t>109</w:t>
      </w:r>
      <w:r>
        <w:rPr>
          <w:rFonts w:eastAsia="仿宋_GB2312"/>
          <w:sz w:val="28"/>
          <w:szCs w:val="28"/>
        </w:rPr>
        <w:t>µg/m</w:t>
      </w:r>
      <w:r>
        <w:rPr>
          <w:rFonts w:eastAsia="仿宋_GB2312"/>
          <w:sz w:val="28"/>
          <w:szCs w:val="28"/>
          <w:vertAlign w:val="superscript"/>
        </w:rPr>
        <w:t>3</w:t>
      </w:r>
      <w:r>
        <w:rPr>
          <w:rFonts w:eastAsia="仿宋_GB2312"/>
          <w:sz w:val="28"/>
          <w:szCs w:val="28"/>
        </w:rPr>
        <w:t>、5</w:t>
      </w:r>
      <w:r>
        <w:rPr>
          <w:rFonts w:hint="eastAsia" w:eastAsia="仿宋_GB2312"/>
          <w:sz w:val="28"/>
          <w:szCs w:val="28"/>
        </w:rPr>
        <w:t>9</w:t>
      </w:r>
      <w:r>
        <w:rPr>
          <w:rFonts w:eastAsia="仿宋_GB2312"/>
          <w:sz w:val="28"/>
          <w:szCs w:val="28"/>
        </w:rPr>
        <w:t>µg/m</w:t>
      </w:r>
      <w:r>
        <w:rPr>
          <w:rFonts w:eastAsia="仿宋_GB2312"/>
          <w:sz w:val="28"/>
          <w:szCs w:val="28"/>
          <w:vertAlign w:val="superscript"/>
        </w:rPr>
        <w:t>3</w:t>
      </w:r>
      <w:r>
        <w:rPr>
          <w:rFonts w:eastAsia="仿宋_GB2312"/>
          <w:sz w:val="28"/>
          <w:szCs w:val="28"/>
        </w:rPr>
        <w:t>，CO和O</w:t>
      </w:r>
      <w:r>
        <w:rPr>
          <w:rFonts w:eastAsia="仿宋_GB2312"/>
          <w:sz w:val="28"/>
          <w:szCs w:val="28"/>
          <w:vertAlign w:val="subscript"/>
        </w:rPr>
        <w:t>3</w:t>
      </w:r>
      <w:r>
        <w:rPr>
          <w:rFonts w:eastAsia="仿宋_GB2312"/>
          <w:sz w:val="28"/>
          <w:szCs w:val="28"/>
        </w:rPr>
        <w:t>-8h百分位数平均浓度分别为3.</w:t>
      </w:r>
      <w:r>
        <w:rPr>
          <w:rFonts w:hint="eastAsia" w:eastAsia="仿宋_GB2312"/>
          <w:sz w:val="28"/>
          <w:szCs w:val="28"/>
        </w:rPr>
        <w:t>0</w:t>
      </w:r>
      <w:r>
        <w:rPr>
          <w:rFonts w:eastAsia="仿宋_GB2312"/>
          <w:sz w:val="28"/>
          <w:szCs w:val="28"/>
        </w:rPr>
        <w:t>mg/m</w:t>
      </w:r>
      <w:r>
        <w:rPr>
          <w:rFonts w:eastAsia="仿宋_GB2312"/>
          <w:sz w:val="28"/>
          <w:szCs w:val="28"/>
          <w:vertAlign w:val="superscript"/>
        </w:rPr>
        <w:t>3</w:t>
      </w:r>
      <w:r>
        <w:rPr>
          <w:rFonts w:eastAsia="仿宋_GB2312"/>
          <w:sz w:val="28"/>
          <w:szCs w:val="28"/>
        </w:rPr>
        <w:t>和1</w:t>
      </w:r>
      <w:r>
        <w:rPr>
          <w:rFonts w:hint="eastAsia" w:eastAsia="仿宋_GB2312"/>
          <w:sz w:val="28"/>
          <w:szCs w:val="28"/>
        </w:rPr>
        <w:t>86</w:t>
      </w:r>
      <w:r>
        <w:rPr>
          <w:rFonts w:eastAsia="仿宋_GB2312"/>
          <w:sz w:val="28"/>
          <w:szCs w:val="28"/>
        </w:rPr>
        <w:t>µg/m</w:t>
      </w:r>
      <w:r>
        <w:rPr>
          <w:rFonts w:eastAsia="仿宋_GB2312"/>
          <w:sz w:val="28"/>
          <w:szCs w:val="28"/>
          <w:vertAlign w:val="superscript"/>
        </w:rPr>
        <w:t>3</w:t>
      </w:r>
      <w:r>
        <w:rPr>
          <w:rFonts w:eastAsia="仿宋_GB2312"/>
          <w:sz w:val="28"/>
          <w:szCs w:val="28"/>
        </w:rPr>
        <w:t>。</w:t>
      </w:r>
      <w:r>
        <w:rPr>
          <w:rFonts w:hint="eastAsia" w:eastAsia="仿宋_GB2312"/>
          <w:sz w:val="28"/>
          <w:szCs w:val="28"/>
        </w:rPr>
        <w:t>与2016年相比，SO</w:t>
      </w:r>
      <w:r>
        <w:rPr>
          <w:rFonts w:hint="eastAsia" w:eastAsia="仿宋_GB2312"/>
          <w:sz w:val="28"/>
          <w:szCs w:val="28"/>
          <w:vertAlign w:val="subscript"/>
        </w:rPr>
        <w:t>2</w:t>
      </w:r>
      <w:r>
        <w:rPr>
          <w:rFonts w:hint="eastAsia" w:eastAsia="仿宋_GB2312"/>
          <w:sz w:val="28"/>
          <w:szCs w:val="28"/>
        </w:rPr>
        <w:t>、PM</w:t>
      </w:r>
      <w:r>
        <w:rPr>
          <w:rFonts w:hint="eastAsia" w:eastAsia="仿宋_GB2312"/>
          <w:sz w:val="28"/>
          <w:szCs w:val="28"/>
          <w:vertAlign w:val="subscript"/>
        </w:rPr>
        <w:t>2.5</w:t>
      </w:r>
      <w:r>
        <w:rPr>
          <w:rFonts w:hint="eastAsia" w:eastAsia="仿宋_GB2312"/>
          <w:sz w:val="28"/>
          <w:szCs w:val="28"/>
        </w:rPr>
        <w:t>年均浓度和</w:t>
      </w:r>
      <w:r>
        <w:rPr>
          <w:rFonts w:eastAsia="仿宋_GB2312"/>
          <w:sz w:val="28"/>
          <w:szCs w:val="28"/>
        </w:rPr>
        <w:t>CO百分位数平均浓度</w:t>
      </w:r>
      <w:r>
        <w:rPr>
          <w:rFonts w:hint="eastAsia" w:eastAsia="仿宋_GB2312"/>
          <w:sz w:val="28"/>
          <w:szCs w:val="28"/>
        </w:rPr>
        <w:t>分别下降15.2%、1.7%和11.8%，PM</w:t>
      </w:r>
      <w:r>
        <w:rPr>
          <w:rFonts w:hint="eastAsia" w:eastAsia="仿宋_GB2312"/>
          <w:sz w:val="28"/>
          <w:szCs w:val="28"/>
          <w:vertAlign w:val="subscript"/>
        </w:rPr>
        <w:t>10</w:t>
      </w:r>
      <w:r>
        <w:rPr>
          <w:rFonts w:hint="eastAsia" w:eastAsia="仿宋_GB2312"/>
          <w:sz w:val="28"/>
          <w:szCs w:val="28"/>
        </w:rPr>
        <w:t>年均浓度持平，NO</w:t>
      </w:r>
      <w:r>
        <w:rPr>
          <w:rFonts w:hint="eastAsia" w:eastAsia="仿宋_GB2312"/>
          <w:sz w:val="28"/>
          <w:szCs w:val="28"/>
          <w:vertAlign w:val="subscript"/>
        </w:rPr>
        <w:t>2</w:t>
      </w:r>
      <w:r>
        <w:rPr>
          <w:rFonts w:hint="eastAsia" w:eastAsia="仿宋_GB2312"/>
          <w:sz w:val="28"/>
          <w:szCs w:val="28"/>
        </w:rPr>
        <w:t>年均浓度</w:t>
      </w:r>
      <w:r>
        <w:rPr>
          <w:rFonts w:eastAsia="仿宋_GB2312"/>
          <w:sz w:val="28"/>
          <w:szCs w:val="28"/>
        </w:rPr>
        <w:t>上升</w:t>
      </w:r>
      <w:r>
        <w:rPr>
          <w:rFonts w:hint="eastAsia" w:eastAsia="仿宋_GB2312"/>
          <w:sz w:val="28"/>
          <w:szCs w:val="28"/>
        </w:rPr>
        <w:t>13.5%，</w:t>
      </w:r>
      <w:r>
        <w:rPr>
          <w:rFonts w:eastAsia="仿宋_GB2312"/>
          <w:sz w:val="28"/>
          <w:szCs w:val="28"/>
        </w:rPr>
        <w:t>O</w:t>
      </w:r>
      <w:r>
        <w:rPr>
          <w:rFonts w:eastAsia="仿宋_GB2312"/>
          <w:sz w:val="28"/>
          <w:szCs w:val="28"/>
          <w:vertAlign w:val="subscript"/>
        </w:rPr>
        <w:t>3</w:t>
      </w:r>
      <w:r>
        <w:rPr>
          <w:rFonts w:eastAsia="仿宋_GB2312"/>
          <w:sz w:val="28"/>
          <w:szCs w:val="28"/>
        </w:rPr>
        <w:t>-8h百分位数平均浓度上升</w:t>
      </w:r>
      <w:r>
        <w:rPr>
          <w:rFonts w:hint="eastAsia" w:eastAsia="仿宋_GB2312"/>
          <w:sz w:val="28"/>
          <w:szCs w:val="28"/>
        </w:rPr>
        <w:t>34.8%。</w:t>
      </w:r>
    </w:p>
    <w:p>
      <w:pPr>
        <w:pStyle w:val="4"/>
        <w:spacing w:beforeLines="50" w:afterLines="50" w:line="360" w:lineRule="auto"/>
        <w:rPr>
          <w:rFonts w:ascii="黑体" w:eastAsia="黑体"/>
          <w:sz w:val="32"/>
          <w:szCs w:val="32"/>
        </w:rPr>
      </w:pPr>
      <w:r>
        <w:rPr>
          <w:rFonts w:hint="eastAsia" w:ascii="黑体" w:eastAsia="黑体"/>
          <w:sz w:val="32"/>
          <w:szCs w:val="32"/>
        </w:rPr>
        <w:t>水环境</w:t>
      </w:r>
    </w:p>
    <w:p>
      <w:pPr>
        <w:spacing w:line="360" w:lineRule="auto"/>
        <w:ind w:firstLine="321" w:firstLineChars="100"/>
        <w:rPr>
          <w:rFonts w:ascii="仿宋_GB2312" w:eastAsia="仿宋_GB2312"/>
          <w:b/>
          <w:sz w:val="32"/>
          <w:szCs w:val="32"/>
        </w:rPr>
      </w:pPr>
      <w:r>
        <w:rPr>
          <w:rFonts w:hint="eastAsia" w:ascii="仿宋_GB2312" w:eastAsia="仿宋_GB2312"/>
          <w:b/>
          <w:sz w:val="32"/>
          <w:szCs w:val="32"/>
        </w:rPr>
        <w:t>（一）地表水水质</w:t>
      </w:r>
    </w:p>
    <w:p>
      <w:pPr>
        <w:spacing w:line="360" w:lineRule="auto"/>
        <w:ind w:firstLine="482"/>
        <w:rPr>
          <w:rFonts w:eastAsia="仿宋_GB2312"/>
          <w:sz w:val="28"/>
          <w:szCs w:val="28"/>
        </w:rPr>
      </w:pPr>
      <w:r>
        <w:rPr>
          <w:rFonts w:eastAsia="仿宋_GB2312"/>
          <w:sz w:val="28"/>
          <w:szCs w:val="28"/>
        </w:rPr>
        <w:t>201</w:t>
      </w:r>
      <w:r>
        <w:rPr>
          <w:rFonts w:hint="eastAsia" w:eastAsia="仿宋_GB2312"/>
          <w:sz w:val="28"/>
          <w:szCs w:val="28"/>
        </w:rPr>
        <w:t>7</w:t>
      </w:r>
      <w:r>
        <w:rPr>
          <w:rFonts w:eastAsia="仿宋_GB2312"/>
          <w:sz w:val="28"/>
          <w:szCs w:val="28"/>
        </w:rPr>
        <w:t>年全省地表水水质属中度污染。按照《地表水环境质量标准》（GB3838-2002）进行评价，监测的</w:t>
      </w:r>
      <w:r>
        <w:rPr>
          <w:rFonts w:hint="eastAsia" w:eastAsia="仿宋_GB2312"/>
          <w:sz w:val="28"/>
          <w:szCs w:val="28"/>
        </w:rPr>
        <w:t>100</w:t>
      </w:r>
      <w:r>
        <w:rPr>
          <w:rFonts w:eastAsia="仿宋_GB2312"/>
          <w:sz w:val="28"/>
          <w:szCs w:val="28"/>
        </w:rPr>
        <w:t>个断面中，水质优良（Ⅰ～Ⅲ类）的断面</w:t>
      </w:r>
      <w:r>
        <w:rPr>
          <w:rFonts w:hint="eastAsia" w:eastAsia="仿宋_GB2312"/>
          <w:sz w:val="28"/>
          <w:szCs w:val="28"/>
        </w:rPr>
        <w:t>56</w:t>
      </w:r>
      <w:r>
        <w:rPr>
          <w:rFonts w:eastAsia="仿宋_GB2312"/>
          <w:sz w:val="28"/>
          <w:szCs w:val="28"/>
        </w:rPr>
        <w:t>个，占监测断面总数的</w:t>
      </w:r>
      <w:r>
        <w:rPr>
          <w:rFonts w:hint="eastAsia" w:eastAsia="仿宋_GB2312"/>
          <w:sz w:val="28"/>
          <w:szCs w:val="28"/>
        </w:rPr>
        <w:t>56.0</w:t>
      </w:r>
      <w:r>
        <w:rPr>
          <w:rFonts w:eastAsia="仿宋_GB2312"/>
          <w:sz w:val="28"/>
          <w:szCs w:val="28"/>
        </w:rPr>
        <w:t>%，同比上升8.0个百分点；重度污染（劣Ⅴ类）的断面23个，占</w:t>
      </w:r>
      <w:r>
        <w:rPr>
          <w:rFonts w:hint="eastAsia" w:eastAsia="仿宋_GB2312"/>
          <w:sz w:val="28"/>
          <w:szCs w:val="28"/>
        </w:rPr>
        <w:t>23.</w:t>
      </w:r>
      <w:r>
        <w:rPr>
          <w:rFonts w:eastAsia="仿宋_GB2312"/>
          <w:sz w:val="28"/>
          <w:szCs w:val="28"/>
        </w:rPr>
        <w:t>0%，同比下降</w:t>
      </w:r>
      <w:r>
        <w:rPr>
          <w:rFonts w:hint="eastAsia" w:eastAsia="仿宋_GB2312"/>
          <w:sz w:val="28"/>
          <w:szCs w:val="28"/>
        </w:rPr>
        <w:t>5.0</w:t>
      </w:r>
      <w:r>
        <w:rPr>
          <w:rFonts w:eastAsia="仿宋_GB2312"/>
          <w:sz w:val="28"/>
          <w:szCs w:val="28"/>
        </w:rPr>
        <w:t>个百分点（图</w:t>
      </w:r>
      <w:r>
        <w:rPr>
          <w:rFonts w:hint="eastAsia" w:eastAsia="仿宋_GB2312"/>
          <w:sz w:val="28"/>
          <w:szCs w:val="28"/>
        </w:rPr>
        <w:t>4</w:t>
      </w:r>
      <w:r>
        <w:rPr>
          <w:rFonts w:eastAsia="仿宋_GB2312"/>
          <w:sz w:val="28"/>
          <w:szCs w:val="28"/>
        </w:rPr>
        <w:t>）。各类断面水质变化情况见表1。</w:t>
      </w:r>
    </w:p>
    <w:p>
      <w:pPr>
        <w:spacing w:line="360" w:lineRule="auto"/>
        <w:jc w:val="center"/>
        <w:rPr>
          <w:rFonts w:eastAsia="仿宋_GB2312"/>
          <w:sz w:val="28"/>
          <w:szCs w:val="28"/>
        </w:rPr>
      </w:pPr>
      <w:r>
        <w:rPr>
          <w:rFonts w:eastAsia="仿宋_GB2312"/>
          <w:sz w:val="28"/>
          <w:szCs w:val="28"/>
        </w:rPr>
        <w:drawing>
          <wp:inline distT="0" distB="0" distL="0" distR="0">
            <wp:extent cx="3599815" cy="2159000"/>
            <wp:effectExtent l="0" t="0" r="0" b="0"/>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ind w:firstLine="560" w:firstLineChars="200"/>
        <w:rPr>
          <w:rFonts w:eastAsia="仿宋_GB2312"/>
          <w:sz w:val="28"/>
          <w:szCs w:val="28"/>
        </w:rPr>
      </w:pPr>
      <w:r>
        <w:rPr>
          <w:rFonts w:eastAsia="仿宋_GB2312"/>
          <w:sz w:val="28"/>
          <w:szCs w:val="28"/>
        </w:rPr>
        <w:t>与201</w:t>
      </w:r>
      <w:r>
        <w:rPr>
          <w:rFonts w:hint="eastAsia" w:eastAsia="仿宋_GB2312"/>
          <w:sz w:val="28"/>
          <w:szCs w:val="28"/>
        </w:rPr>
        <w:t>6</w:t>
      </w:r>
      <w:r>
        <w:rPr>
          <w:rFonts w:eastAsia="仿宋_GB2312"/>
          <w:sz w:val="28"/>
          <w:szCs w:val="28"/>
        </w:rPr>
        <w:t>年相比，全省</w:t>
      </w:r>
      <w:r>
        <w:rPr>
          <w:rFonts w:hint="eastAsia" w:eastAsia="仿宋_GB2312"/>
          <w:sz w:val="28"/>
          <w:szCs w:val="28"/>
        </w:rPr>
        <w:t>地表水环境质量有所好转</w:t>
      </w:r>
      <w:r>
        <w:rPr>
          <w:rFonts w:eastAsia="仿宋_GB2312"/>
          <w:sz w:val="28"/>
          <w:szCs w:val="28"/>
        </w:rPr>
        <w:t>。各类断面水质变化情况见表1。</w:t>
      </w:r>
    </w:p>
    <w:p>
      <w:pPr>
        <w:jc w:val="center"/>
        <w:rPr>
          <w:b/>
          <w:szCs w:val="21"/>
        </w:rPr>
      </w:pPr>
      <w:r>
        <w:rPr>
          <w:rFonts w:hint="eastAsia"/>
          <w:b/>
          <w:szCs w:val="21"/>
        </w:rPr>
        <w:t>表1  2017年全省地表水水质变化情况统计表</w:t>
      </w:r>
    </w:p>
    <w:tbl>
      <w:tblPr>
        <w:tblStyle w:val="11"/>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618"/>
        <w:gridCol w:w="910"/>
        <w:gridCol w:w="920"/>
        <w:gridCol w:w="760"/>
        <w:gridCol w:w="910"/>
        <w:gridCol w:w="920"/>
        <w:gridCol w:w="8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63" w:type="dxa"/>
            <w:gridSpan w:val="2"/>
            <w:vMerge w:val="restart"/>
            <w:vAlign w:val="center"/>
          </w:tcPr>
          <w:p>
            <w:pPr>
              <w:jc w:val="center"/>
              <w:rPr>
                <w:szCs w:val="21"/>
              </w:rPr>
            </w:pPr>
            <w:r>
              <w:rPr>
                <w:rFonts w:hAnsiTheme="minorEastAsia"/>
                <w:szCs w:val="21"/>
              </w:rPr>
              <w:t>统计项目</w:t>
            </w:r>
          </w:p>
        </w:tc>
        <w:tc>
          <w:tcPr>
            <w:tcW w:w="2590" w:type="dxa"/>
            <w:gridSpan w:val="3"/>
            <w:vAlign w:val="center"/>
          </w:tcPr>
          <w:p>
            <w:pPr>
              <w:jc w:val="center"/>
              <w:rPr>
                <w:szCs w:val="21"/>
              </w:rPr>
            </w:pPr>
            <w:r>
              <w:rPr>
                <w:rFonts w:hAnsiTheme="minorEastAsia"/>
                <w:szCs w:val="21"/>
              </w:rPr>
              <w:t>断面数</w:t>
            </w:r>
          </w:p>
        </w:tc>
        <w:tc>
          <w:tcPr>
            <w:tcW w:w="2669" w:type="dxa"/>
            <w:gridSpan w:val="3"/>
            <w:vAlign w:val="center"/>
          </w:tcPr>
          <w:p>
            <w:pPr>
              <w:jc w:val="center"/>
              <w:rPr>
                <w:szCs w:val="21"/>
              </w:rPr>
            </w:pPr>
            <w:r>
              <w:rPr>
                <w:rFonts w:hAnsiTheme="minorEastAsia"/>
                <w:szCs w:val="21"/>
              </w:rPr>
              <w:t>占监测断面总数的比例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63" w:type="dxa"/>
            <w:gridSpan w:val="2"/>
            <w:vMerge w:val="continue"/>
            <w:vAlign w:val="center"/>
          </w:tcPr>
          <w:p>
            <w:pPr>
              <w:jc w:val="center"/>
              <w:rPr>
                <w:szCs w:val="21"/>
              </w:rPr>
            </w:pPr>
          </w:p>
        </w:tc>
        <w:tc>
          <w:tcPr>
            <w:tcW w:w="910" w:type="dxa"/>
            <w:vAlign w:val="center"/>
          </w:tcPr>
          <w:p>
            <w:pPr>
              <w:jc w:val="center"/>
              <w:rPr>
                <w:szCs w:val="21"/>
              </w:rPr>
            </w:pPr>
            <w:r>
              <w:rPr>
                <w:szCs w:val="21"/>
              </w:rPr>
              <w:t>201</w:t>
            </w:r>
            <w:r>
              <w:rPr>
                <w:rFonts w:hint="eastAsia"/>
                <w:szCs w:val="21"/>
              </w:rPr>
              <w:t>7</w:t>
            </w:r>
            <w:r>
              <w:rPr>
                <w:rFonts w:hAnsiTheme="minorEastAsia"/>
                <w:szCs w:val="21"/>
              </w:rPr>
              <w:t>年</w:t>
            </w:r>
          </w:p>
        </w:tc>
        <w:tc>
          <w:tcPr>
            <w:tcW w:w="920" w:type="dxa"/>
            <w:vAlign w:val="center"/>
          </w:tcPr>
          <w:p>
            <w:pPr>
              <w:jc w:val="center"/>
              <w:rPr>
                <w:szCs w:val="21"/>
              </w:rPr>
            </w:pPr>
            <w:r>
              <w:rPr>
                <w:szCs w:val="21"/>
              </w:rPr>
              <w:t>201</w:t>
            </w:r>
            <w:r>
              <w:rPr>
                <w:rFonts w:hint="eastAsia"/>
                <w:szCs w:val="21"/>
              </w:rPr>
              <w:t>6</w:t>
            </w:r>
            <w:r>
              <w:rPr>
                <w:rFonts w:hAnsiTheme="minorEastAsia"/>
                <w:szCs w:val="21"/>
              </w:rPr>
              <w:t>年</w:t>
            </w:r>
          </w:p>
        </w:tc>
        <w:tc>
          <w:tcPr>
            <w:tcW w:w="760" w:type="dxa"/>
            <w:vAlign w:val="center"/>
          </w:tcPr>
          <w:p>
            <w:pPr>
              <w:jc w:val="center"/>
              <w:rPr>
                <w:szCs w:val="21"/>
              </w:rPr>
            </w:pPr>
            <w:r>
              <w:rPr>
                <w:rFonts w:hAnsiTheme="minorEastAsia"/>
                <w:szCs w:val="21"/>
              </w:rPr>
              <w:t>变化</w:t>
            </w:r>
          </w:p>
        </w:tc>
        <w:tc>
          <w:tcPr>
            <w:tcW w:w="910" w:type="dxa"/>
            <w:vAlign w:val="center"/>
          </w:tcPr>
          <w:p>
            <w:pPr>
              <w:jc w:val="center"/>
              <w:rPr>
                <w:szCs w:val="21"/>
              </w:rPr>
            </w:pPr>
            <w:r>
              <w:rPr>
                <w:szCs w:val="21"/>
              </w:rPr>
              <w:t>201</w:t>
            </w:r>
            <w:r>
              <w:rPr>
                <w:rFonts w:hint="eastAsia"/>
                <w:szCs w:val="21"/>
              </w:rPr>
              <w:t>7</w:t>
            </w:r>
            <w:r>
              <w:rPr>
                <w:rFonts w:hAnsiTheme="minorEastAsia"/>
                <w:szCs w:val="21"/>
              </w:rPr>
              <w:t>年</w:t>
            </w:r>
          </w:p>
        </w:tc>
        <w:tc>
          <w:tcPr>
            <w:tcW w:w="920" w:type="dxa"/>
            <w:vAlign w:val="center"/>
          </w:tcPr>
          <w:p>
            <w:pPr>
              <w:jc w:val="center"/>
              <w:rPr>
                <w:szCs w:val="21"/>
              </w:rPr>
            </w:pPr>
            <w:r>
              <w:rPr>
                <w:szCs w:val="21"/>
              </w:rPr>
              <w:t>201</w:t>
            </w:r>
            <w:r>
              <w:rPr>
                <w:rFonts w:hint="eastAsia"/>
                <w:szCs w:val="21"/>
              </w:rPr>
              <w:t>6</w:t>
            </w:r>
            <w:r>
              <w:rPr>
                <w:rFonts w:hAnsiTheme="minorEastAsia"/>
                <w:szCs w:val="21"/>
              </w:rPr>
              <w:t>年</w:t>
            </w:r>
          </w:p>
        </w:tc>
        <w:tc>
          <w:tcPr>
            <w:tcW w:w="839" w:type="dxa"/>
            <w:vAlign w:val="center"/>
          </w:tcPr>
          <w:p>
            <w:pPr>
              <w:jc w:val="center"/>
              <w:rPr>
                <w:szCs w:val="21"/>
              </w:rPr>
            </w:pPr>
            <w:r>
              <w:rPr>
                <w:rFonts w:hAnsiTheme="minorEastAsia"/>
                <w:szCs w:val="21"/>
              </w:rPr>
              <w:t>变化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63" w:type="dxa"/>
            <w:gridSpan w:val="2"/>
            <w:vAlign w:val="center"/>
          </w:tcPr>
          <w:p>
            <w:pPr>
              <w:jc w:val="center"/>
              <w:rPr>
                <w:szCs w:val="21"/>
              </w:rPr>
            </w:pPr>
            <w:r>
              <w:rPr>
                <w:rFonts w:hAnsiTheme="minorEastAsia"/>
                <w:szCs w:val="21"/>
              </w:rPr>
              <w:t>监测断面数</w:t>
            </w:r>
          </w:p>
        </w:tc>
        <w:tc>
          <w:tcPr>
            <w:tcW w:w="910" w:type="dxa"/>
            <w:vAlign w:val="center"/>
          </w:tcPr>
          <w:p>
            <w:pPr>
              <w:jc w:val="center"/>
              <w:rPr>
                <w:szCs w:val="21"/>
              </w:rPr>
            </w:pPr>
            <w:r>
              <w:rPr>
                <w:rFonts w:hint="eastAsia"/>
                <w:szCs w:val="21"/>
              </w:rPr>
              <w:t>100</w:t>
            </w:r>
          </w:p>
        </w:tc>
        <w:tc>
          <w:tcPr>
            <w:tcW w:w="920" w:type="dxa"/>
            <w:vAlign w:val="center"/>
          </w:tcPr>
          <w:p>
            <w:pPr>
              <w:jc w:val="center"/>
              <w:rPr>
                <w:szCs w:val="21"/>
              </w:rPr>
            </w:pPr>
            <w:r>
              <w:rPr>
                <w:szCs w:val="21"/>
              </w:rPr>
              <w:t>100</w:t>
            </w:r>
          </w:p>
        </w:tc>
        <w:tc>
          <w:tcPr>
            <w:tcW w:w="760" w:type="dxa"/>
            <w:vAlign w:val="center"/>
          </w:tcPr>
          <w:p>
            <w:pPr>
              <w:jc w:val="center"/>
              <w:rPr>
                <w:szCs w:val="21"/>
              </w:rPr>
            </w:pPr>
            <w:r>
              <w:rPr>
                <w:rFonts w:hint="eastAsia"/>
                <w:szCs w:val="21"/>
              </w:rPr>
              <w:t>0</w:t>
            </w:r>
          </w:p>
        </w:tc>
        <w:tc>
          <w:tcPr>
            <w:tcW w:w="2669" w:type="dxa"/>
            <w:gridSpan w:val="3"/>
            <w:vAlign w:val="center"/>
          </w:tcPr>
          <w:p>
            <w:pPr>
              <w:jc w:val="center"/>
              <w:rPr>
                <w:szCs w:val="21"/>
              </w:rPr>
            </w:pPr>
            <w:r>
              <w:rPr>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63" w:type="dxa"/>
            <w:gridSpan w:val="2"/>
            <w:vAlign w:val="center"/>
          </w:tcPr>
          <w:p>
            <w:pPr>
              <w:jc w:val="center"/>
              <w:rPr>
                <w:szCs w:val="21"/>
              </w:rPr>
            </w:pPr>
            <w:r>
              <w:rPr>
                <w:rFonts w:hAnsiTheme="minorEastAsia"/>
                <w:szCs w:val="21"/>
              </w:rPr>
              <w:t>污染断面</w:t>
            </w:r>
          </w:p>
        </w:tc>
        <w:tc>
          <w:tcPr>
            <w:tcW w:w="910" w:type="dxa"/>
            <w:vAlign w:val="center"/>
          </w:tcPr>
          <w:p>
            <w:pPr>
              <w:jc w:val="center"/>
              <w:rPr>
                <w:szCs w:val="21"/>
              </w:rPr>
            </w:pPr>
            <w:r>
              <w:rPr>
                <w:rFonts w:hint="eastAsia"/>
                <w:szCs w:val="21"/>
              </w:rPr>
              <w:t>44</w:t>
            </w:r>
          </w:p>
        </w:tc>
        <w:tc>
          <w:tcPr>
            <w:tcW w:w="920" w:type="dxa"/>
            <w:vAlign w:val="center"/>
          </w:tcPr>
          <w:p>
            <w:pPr>
              <w:jc w:val="center"/>
              <w:rPr>
                <w:szCs w:val="21"/>
              </w:rPr>
            </w:pPr>
            <w:r>
              <w:rPr>
                <w:rFonts w:hint="eastAsia"/>
                <w:szCs w:val="21"/>
              </w:rPr>
              <w:t>52</w:t>
            </w:r>
          </w:p>
        </w:tc>
        <w:tc>
          <w:tcPr>
            <w:tcW w:w="760" w:type="dxa"/>
            <w:vAlign w:val="center"/>
          </w:tcPr>
          <w:p>
            <w:pPr>
              <w:jc w:val="center"/>
              <w:rPr>
                <w:szCs w:val="21"/>
              </w:rPr>
            </w:pPr>
            <w:r>
              <w:rPr>
                <w:rFonts w:hint="eastAsia"/>
                <w:szCs w:val="21"/>
              </w:rPr>
              <w:t>-8</w:t>
            </w:r>
          </w:p>
        </w:tc>
        <w:tc>
          <w:tcPr>
            <w:tcW w:w="910" w:type="dxa"/>
            <w:vAlign w:val="center"/>
          </w:tcPr>
          <w:p>
            <w:pPr>
              <w:jc w:val="center"/>
              <w:rPr>
                <w:szCs w:val="21"/>
              </w:rPr>
            </w:pPr>
            <w:r>
              <w:rPr>
                <w:rFonts w:hint="eastAsia"/>
                <w:szCs w:val="21"/>
              </w:rPr>
              <w:t>44.0%</w:t>
            </w:r>
          </w:p>
        </w:tc>
        <w:tc>
          <w:tcPr>
            <w:tcW w:w="920" w:type="dxa"/>
            <w:vAlign w:val="center"/>
          </w:tcPr>
          <w:p>
            <w:pPr>
              <w:jc w:val="center"/>
              <w:rPr>
                <w:szCs w:val="21"/>
              </w:rPr>
            </w:pPr>
            <w:r>
              <w:rPr>
                <w:rFonts w:hint="eastAsia"/>
                <w:szCs w:val="21"/>
              </w:rPr>
              <w:t>52.0%</w:t>
            </w:r>
          </w:p>
        </w:tc>
        <w:tc>
          <w:tcPr>
            <w:tcW w:w="839" w:type="dxa"/>
            <w:vAlign w:val="center"/>
          </w:tcPr>
          <w:p>
            <w:pPr>
              <w:jc w:val="center"/>
              <w:rPr>
                <w:szCs w:val="21"/>
              </w:rPr>
            </w:pPr>
            <w:r>
              <w:rPr>
                <w:rFonts w:hint="eastAsia"/>
                <w:szCs w:val="21"/>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5" w:type="dxa"/>
            <w:vMerge w:val="restart"/>
            <w:vAlign w:val="center"/>
          </w:tcPr>
          <w:p>
            <w:pPr>
              <w:jc w:val="center"/>
              <w:rPr>
                <w:szCs w:val="21"/>
              </w:rPr>
            </w:pPr>
            <w:r>
              <w:rPr>
                <w:rFonts w:hAnsiTheme="minorEastAsia"/>
                <w:szCs w:val="21"/>
              </w:rPr>
              <w:t>其中</w:t>
            </w:r>
          </w:p>
        </w:tc>
        <w:tc>
          <w:tcPr>
            <w:tcW w:w="2618" w:type="dxa"/>
            <w:vAlign w:val="center"/>
          </w:tcPr>
          <w:p>
            <w:pPr>
              <w:jc w:val="center"/>
              <w:rPr>
                <w:szCs w:val="21"/>
              </w:rPr>
            </w:pPr>
            <w:r>
              <w:rPr>
                <w:rFonts w:hAnsiTheme="minorEastAsia"/>
                <w:szCs w:val="21"/>
              </w:rPr>
              <w:t>重度污染断面（劣</w:t>
            </w:r>
            <w:r>
              <w:rPr>
                <w:rFonts w:asciiTheme="minorEastAsia" w:hAnsiTheme="minorEastAsia"/>
                <w:szCs w:val="21"/>
              </w:rPr>
              <w:t>Ⅴ</w:t>
            </w:r>
            <w:r>
              <w:rPr>
                <w:rFonts w:hAnsiTheme="minorEastAsia"/>
                <w:szCs w:val="21"/>
              </w:rPr>
              <w:t>类）</w:t>
            </w:r>
          </w:p>
        </w:tc>
        <w:tc>
          <w:tcPr>
            <w:tcW w:w="910" w:type="dxa"/>
            <w:vAlign w:val="center"/>
          </w:tcPr>
          <w:p>
            <w:pPr>
              <w:jc w:val="center"/>
              <w:rPr>
                <w:szCs w:val="21"/>
              </w:rPr>
            </w:pPr>
            <w:r>
              <w:rPr>
                <w:rFonts w:hint="eastAsia"/>
                <w:szCs w:val="21"/>
              </w:rPr>
              <w:t>23</w:t>
            </w:r>
          </w:p>
        </w:tc>
        <w:tc>
          <w:tcPr>
            <w:tcW w:w="920" w:type="dxa"/>
            <w:vAlign w:val="center"/>
          </w:tcPr>
          <w:p>
            <w:pPr>
              <w:jc w:val="center"/>
              <w:rPr>
                <w:szCs w:val="21"/>
              </w:rPr>
            </w:pPr>
            <w:r>
              <w:rPr>
                <w:rFonts w:hint="eastAsia"/>
                <w:szCs w:val="21"/>
              </w:rPr>
              <w:t>28</w:t>
            </w:r>
          </w:p>
        </w:tc>
        <w:tc>
          <w:tcPr>
            <w:tcW w:w="760" w:type="dxa"/>
            <w:vAlign w:val="center"/>
          </w:tcPr>
          <w:p>
            <w:pPr>
              <w:jc w:val="center"/>
              <w:rPr>
                <w:szCs w:val="21"/>
              </w:rPr>
            </w:pPr>
            <w:r>
              <w:rPr>
                <w:rFonts w:hint="eastAsia"/>
                <w:szCs w:val="21"/>
              </w:rPr>
              <w:t>-5</w:t>
            </w:r>
          </w:p>
        </w:tc>
        <w:tc>
          <w:tcPr>
            <w:tcW w:w="910" w:type="dxa"/>
            <w:vAlign w:val="center"/>
          </w:tcPr>
          <w:p>
            <w:pPr>
              <w:jc w:val="center"/>
              <w:rPr>
                <w:szCs w:val="21"/>
              </w:rPr>
            </w:pPr>
            <w:r>
              <w:rPr>
                <w:rFonts w:hint="eastAsia"/>
                <w:szCs w:val="21"/>
              </w:rPr>
              <w:t>23.0%</w:t>
            </w:r>
          </w:p>
        </w:tc>
        <w:tc>
          <w:tcPr>
            <w:tcW w:w="920" w:type="dxa"/>
            <w:vAlign w:val="center"/>
          </w:tcPr>
          <w:p>
            <w:pPr>
              <w:jc w:val="center"/>
              <w:rPr>
                <w:szCs w:val="21"/>
              </w:rPr>
            </w:pPr>
            <w:r>
              <w:rPr>
                <w:rFonts w:hint="eastAsia"/>
                <w:szCs w:val="21"/>
              </w:rPr>
              <w:t>28.0%</w:t>
            </w:r>
          </w:p>
        </w:tc>
        <w:tc>
          <w:tcPr>
            <w:tcW w:w="839" w:type="dxa"/>
            <w:vAlign w:val="center"/>
          </w:tcPr>
          <w:p>
            <w:pPr>
              <w:jc w:val="center"/>
              <w:rPr>
                <w:szCs w:val="21"/>
              </w:rPr>
            </w:pPr>
            <w:r>
              <w:rPr>
                <w:rFonts w:hint="eastAsia"/>
                <w:szCs w:val="21"/>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5" w:type="dxa"/>
            <w:vMerge w:val="continue"/>
            <w:vAlign w:val="center"/>
          </w:tcPr>
          <w:p>
            <w:pPr>
              <w:jc w:val="center"/>
              <w:rPr>
                <w:szCs w:val="21"/>
              </w:rPr>
            </w:pPr>
          </w:p>
        </w:tc>
        <w:tc>
          <w:tcPr>
            <w:tcW w:w="2618" w:type="dxa"/>
            <w:vAlign w:val="center"/>
          </w:tcPr>
          <w:p>
            <w:pPr>
              <w:jc w:val="center"/>
              <w:rPr>
                <w:szCs w:val="21"/>
              </w:rPr>
            </w:pPr>
            <w:r>
              <w:rPr>
                <w:rFonts w:hAnsiTheme="minorEastAsia"/>
                <w:szCs w:val="21"/>
              </w:rPr>
              <w:t>中度污染断面（</w:t>
            </w:r>
            <w:r>
              <w:rPr>
                <w:rFonts w:asciiTheme="minorEastAsia" w:hAnsiTheme="minorEastAsia"/>
                <w:szCs w:val="21"/>
              </w:rPr>
              <w:t>Ⅴ</w:t>
            </w:r>
            <w:r>
              <w:rPr>
                <w:rFonts w:hAnsiTheme="minorEastAsia"/>
                <w:szCs w:val="21"/>
              </w:rPr>
              <w:t>类）</w:t>
            </w:r>
          </w:p>
        </w:tc>
        <w:tc>
          <w:tcPr>
            <w:tcW w:w="910" w:type="dxa"/>
            <w:vAlign w:val="center"/>
          </w:tcPr>
          <w:p>
            <w:pPr>
              <w:jc w:val="center"/>
              <w:rPr>
                <w:szCs w:val="21"/>
              </w:rPr>
            </w:pPr>
            <w:r>
              <w:rPr>
                <w:rFonts w:hint="eastAsia"/>
                <w:szCs w:val="21"/>
              </w:rPr>
              <w:t>7</w:t>
            </w:r>
          </w:p>
        </w:tc>
        <w:tc>
          <w:tcPr>
            <w:tcW w:w="920" w:type="dxa"/>
            <w:vAlign w:val="center"/>
          </w:tcPr>
          <w:p>
            <w:pPr>
              <w:jc w:val="center"/>
              <w:rPr>
                <w:szCs w:val="21"/>
              </w:rPr>
            </w:pPr>
            <w:r>
              <w:rPr>
                <w:rFonts w:hint="eastAsia"/>
                <w:szCs w:val="21"/>
              </w:rPr>
              <w:t>4</w:t>
            </w:r>
          </w:p>
        </w:tc>
        <w:tc>
          <w:tcPr>
            <w:tcW w:w="760" w:type="dxa"/>
            <w:vAlign w:val="center"/>
          </w:tcPr>
          <w:p>
            <w:pPr>
              <w:jc w:val="center"/>
              <w:rPr>
                <w:szCs w:val="21"/>
              </w:rPr>
            </w:pPr>
            <w:r>
              <w:rPr>
                <w:rFonts w:hint="eastAsia"/>
                <w:szCs w:val="21"/>
              </w:rPr>
              <w:t>3</w:t>
            </w:r>
          </w:p>
        </w:tc>
        <w:tc>
          <w:tcPr>
            <w:tcW w:w="910" w:type="dxa"/>
            <w:vAlign w:val="center"/>
          </w:tcPr>
          <w:p>
            <w:pPr>
              <w:jc w:val="center"/>
              <w:rPr>
                <w:szCs w:val="21"/>
              </w:rPr>
            </w:pPr>
            <w:r>
              <w:rPr>
                <w:rFonts w:hint="eastAsia"/>
                <w:szCs w:val="21"/>
              </w:rPr>
              <w:t>7.0%</w:t>
            </w:r>
          </w:p>
        </w:tc>
        <w:tc>
          <w:tcPr>
            <w:tcW w:w="920" w:type="dxa"/>
            <w:vAlign w:val="center"/>
          </w:tcPr>
          <w:p>
            <w:pPr>
              <w:jc w:val="center"/>
              <w:rPr>
                <w:szCs w:val="21"/>
              </w:rPr>
            </w:pPr>
            <w:r>
              <w:rPr>
                <w:rFonts w:hint="eastAsia"/>
                <w:szCs w:val="21"/>
              </w:rPr>
              <w:t>4.0%</w:t>
            </w:r>
          </w:p>
        </w:tc>
        <w:tc>
          <w:tcPr>
            <w:tcW w:w="839" w:type="dxa"/>
            <w:vAlign w:val="center"/>
          </w:tcPr>
          <w:p>
            <w:pPr>
              <w:jc w:val="center"/>
              <w:rPr>
                <w:szCs w:val="21"/>
              </w:rPr>
            </w:pPr>
            <w:r>
              <w:rPr>
                <w:rFonts w:hint="eastAsia"/>
                <w:szCs w:val="21"/>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45" w:type="dxa"/>
            <w:vMerge w:val="continue"/>
            <w:vAlign w:val="center"/>
          </w:tcPr>
          <w:p>
            <w:pPr>
              <w:jc w:val="center"/>
              <w:rPr>
                <w:szCs w:val="21"/>
              </w:rPr>
            </w:pPr>
          </w:p>
        </w:tc>
        <w:tc>
          <w:tcPr>
            <w:tcW w:w="2618" w:type="dxa"/>
            <w:vAlign w:val="center"/>
          </w:tcPr>
          <w:p>
            <w:pPr>
              <w:jc w:val="center"/>
              <w:rPr>
                <w:szCs w:val="21"/>
              </w:rPr>
            </w:pPr>
            <w:r>
              <w:rPr>
                <w:rFonts w:hAnsiTheme="minorEastAsia"/>
                <w:szCs w:val="21"/>
              </w:rPr>
              <w:t>轻度污染断面（</w:t>
            </w:r>
            <w:r>
              <w:rPr>
                <w:rFonts w:asciiTheme="minorEastAsia" w:hAnsiTheme="minorEastAsia"/>
                <w:szCs w:val="21"/>
              </w:rPr>
              <w:t>Ⅳ</w:t>
            </w:r>
            <w:r>
              <w:rPr>
                <w:rFonts w:hAnsiTheme="minorEastAsia"/>
                <w:szCs w:val="21"/>
              </w:rPr>
              <w:t>类）</w:t>
            </w:r>
          </w:p>
        </w:tc>
        <w:tc>
          <w:tcPr>
            <w:tcW w:w="910" w:type="dxa"/>
            <w:vAlign w:val="center"/>
          </w:tcPr>
          <w:p>
            <w:pPr>
              <w:jc w:val="center"/>
              <w:rPr>
                <w:szCs w:val="21"/>
              </w:rPr>
            </w:pPr>
            <w:r>
              <w:rPr>
                <w:rFonts w:hint="eastAsia"/>
                <w:szCs w:val="21"/>
              </w:rPr>
              <w:t>14</w:t>
            </w:r>
          </w:p>
        </w:tc>
        <w:tc>
          <w:tcPr>
            <w:tcW w:w="920" w:type="dxa"/>
            <w:vAlign w:val="center"/>
          </w:tcPr>
          <w:p>
            <w:pPr>
              <w:jc w:val="center"/>
              <w:rPr>
                <w:szCs w:val="21"/>
              </w:rPr>
            </w:pPr>
            <w:r>
              <w:rPr>
                <w:rFonts w:hint="eastAsia"/>
                <w:szCs w:val="21"/>
              </w:rPr>
              <w:t>20</w:t>
            </w:r>
          </w:p>
        </w:tc>
        <w:tc>
          <w:tcPr>
            <w:tcW w:w="760" w:type="dxa"/>
            <w:vAlign w:val="center"/>
          </w:tcPr>
          <w:p>
            <w:pPr>
              <w:jc w:val="center"/>
              <w:rPr>
                <w:szCs w:val="21"/>
              </w:rPr>
            </w:pPr>
            <w:r>
              <w:rPr>
                <w:rFonts w:hint="eastAsia"/>
                <w:szCs w:val="21"/>
              </w:rPr>
              <w:t>-6</w:t>
            </w:r>
          </w:p>
        </w:tc>
        <w:tc>
          <w:tcPr>
            <w:tcW w:w="910" w:type="dxa"/>
            <w:vAlign w:val="center"/>
          </w:tcPr>
          <w:p>
            <w:pPr>
              <w:jc w:val="center"/>
              <w:rPr>
                <w:szCs w:val="21"/>
              </w:rPr>
            </w:pPr>
            <w:r>
              <w:rPr>
                <w:rFonts w:hint="eastAsia"/>
                <w:szCs w:val="21"/>
              </w:rPr>
              <w:t>14.0%</w:t>
            </w:r>
          </w:p>
        </w:tc>
        <w:tc>
          <w:tcPr>
            <w:tcW w:w="920" w:type="dxa"/>
            <w:vAlign w:val="center"/>
          </w:tcPr>
          <w:p>
            <w:pPr>
              <w:jc w:val="center"/>
              <w:rPr>
                <w:szCs w:val="21"/>
              </w:rPr>
            </w:pPr>
            <w:r>
              <w:rPr>
                <w:rFonts w:hint="eastAsia"/>
                <w:szCs w:val="21"/>
              </w:rPr>
              <w:t>20.0%</w:t>
            </w:r>
          </w:p>
        </w:tc>
        <w:tc>
          <w:tcPr>
            <w:tcW w:w="839" w:type="dxa"/>
            <w:vAlign w:val="center"/>
          </w:tcPr>
          <w:p>
            <w:pPr>
              <w:jc w:val="center"/>
              <w:rPr>
                <w:szCs w:val="21"/>
              </w:rPr>
            </w:pPr>
            <w:r>
              <w:rPr>
                <w:rFonts w:hint="eastAsia"/>
                <w:szCs w:val="21"/>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63" w:type="dxa"/>
            <w:gridSpan w:val="2"/>
            <w:vAlign w:val="center"/>
          </w:tcPr>
          <w:p>
            <w:pPr>
              <w:jc w:val="center"/>
              <w:rPr>
                <w:szCs w:val="21"/>
              </w:rPr>
            </w:pPr>
            <w:r>
              <w:rPr>
                <w:rFonts w:hAnsiTheme="minorEastAsia"/>
                <w:szCs w:val="21"/>
              </w:rPr>
              <w:t>优良断面（</w:t>
            </w:r>
            <w:r>
              <w:rPr>
                <w:rFonts w:asciiTheme="minorEastAsia" w:hAnsiTheme="minorEastAsia"/>
                <w:szCs w:val="21"/>
              </w:rPr>
              <w:t>Ⅰ</w:t>
            </w:r>
            <w:r>
              <w:rPr>
                <w:rFonts w:hAnsiTheme="minorEastAsia"/>
                <w:szCs w:val="21"/>
              </w:rPr>
              <w:t>～</w:t>
            </w:r>
            <w:r>
              <w:rPr>
                <w:rFonts w:asciiTheme="minorEastAsia" w:hAnsiTheme="minorEastAsia"/>
                <w:szCs w:val="21"/>
              </w:rPr>
              <w:t>Ⅲ</w:t>
            </w:r>
            <w:r>
              <w:rPr>
                <w:rFonts w:hAnsiTheme="minorEastAsia"/>
                <w:szCs w:val="21"/>
              </w:rPr>
              <w:t>类）</w:t>
            </w:r>
          </w:p>
        </w:tc>
        <w:tc>
          <w:tcPr>
            <w:tcW w:w="910" w:type="dxa"/>
            <w:vAlign w:val="center"/>
          </w:tcPr>
          <w:p>
            <w:pPr>
              <w:jc w:val="center"/>
              <w:rPr>
                <w:szCs w:val="21"/>
              </w:rPr>
            </w:pPr>
            <w:r>
              <w:rPr>
                <w:rFonts w:hint="eastAsia"/>
                <w:szCs w:val="21"/>
              </w:rPr>
              <w:t>56</w:t>
            </w:r>
          </w:p>
        </w:tc>
        <w:tc>
          <w:tcPr>
            <w:tcW w:w="920" w:type="dxa"/>
            <w:vAlign w:val="center"/>
          </w:tcPr>
          <w:p>
            <w:pPr>
              <w:jc w:val="center"/>
              <w:rPr>
                <w:szCs w:val="21"/>
              </w:rPr>
            </w:pPr>
            <w:r>
              <w:rPr>
                <w:rFonts w:hint="eastAsia"/>
                <w:szCs w:val="21"/>
              </w:rPr>
              <w:t>48</w:t>
            </w:r>
          </w:p>
        </w:tc>
        <w:tc>
          <w:tcPr>
            <w:tcW w:w="760" w:type="dxa"/>
            <w:vAlign w:val="center"/>
          </w:tcPr>
          <w:p>
            <w:pPr>
              <w:jc w:val="center"/>
              <w:rPr>
                <w:szCs w:val="21"/>
              </w:rPr>
            </w:pPr>
            <w:r>
              <w:rPr>
                <w:rFonts w:hint="eastAsia"/>
                <w:szCs w:val="21"/>
              </w:rPr>
              <w:t>8</w:t>
            </w:r>
          </w:p>
        </w:tc>
        <w:tc>
          <w:tcPr>
            <w:tcW w:w="910" w:type="dxa"/>
            <w:vAlign w:val="center"/>
          </w:tcPr>
          <w:p>
            <w:pPr>
              <w:jc w:val="center"/>
              <w:rPr>
                <w:szCs w:val="21"/>
              </w:rPr>
            </w:pPr>
            <w:r>
              <w:rPr>
                <w:rFonts w:hint="eastAsia"/>
                <w:szCs w:val="21"/>
              </w:rPr>
              <w:t>56.0%</w:t>
            </w:r>
          </w:p>
        </w:tc>
        <w:tc>
          <w:tcPr>
            <w:tcW w:w="920" w:type="dxa"/>
            <w:vAlign w:val="center"/>
          </w:tcPr>
          <w:p>
            <w:pPr>
              <w:jc w:val="center"/>
              <w:rPr>
                <w:szCs w:val="21"/>
              </w:rPr>
            </w:pPr>
            <w:r>
              <w:rPr>
                <w:rFonts w:hint="eastAsia"/>
                <w:szCs w:val="21"/>
              </w:rPr>
              <w:t>48.0%</w:t>
            </w:r>
          </w:p>
        </w:tc>
        <w:tc>
          <w:tcPr>
            <w:tcW w:w="839" w:type="dxa"/>
            <w:vAlign w:val="center"/>
          </w:tcPr>
          <w:p>
            <w:pPr>
              <w:jc w:val="center"/>
              <w:rPr>
                <w:szCs w:val="21"/>
              </w:rPr>
            </w:pPr>
            <w:r>
              <w:rPr>
                <w:rFonts w:hint="eastAsia"/>
                <w:szCs w:val="21"/>
              </w:rPr>
              <w:t>8.0%</w:t>
            </w:r>
          </w:p>
        </w:tc>
      </w:tr>
    </w:tbl>
    <w:p/>
    <w:p/>
    <w:p>
      <w:pPr>
        <w:spacing w:line="360" w:lineRule="auto"/>
        <w:ind w:firstLine="321" w:firstLineChars="100"/>
        <w:rPr>
          <w:rFonts w:ascii="仿宋_GB2312" w:eastAsia="仿宋_GB2312"/>
          <w:b/>
          <w:sz w:val="32"/>
          <w:szCs w:val="32"/>
        </w:rPr>
      </w:pPr>
      <w:r>
        <w:rPr>
          <w:rFonts w:hint="eastAsia" w:ascii="仿宋_GB2312" w:eastAsia="仿宋_GB2312"/>
          <w:b/>
          <w:sz w:val="32"/>
          <w:szCs w:val="32"/>
        </w:rPr>
        <w:t>（二）城市地下水水质</w:t>
      </w:r>
    </w:p>
    <w:p>
      <w:pPr>
        <w:spacing w:line="360" w:lineRule="auto"/>
        <w:ind w:firstLine="560"/>
        <w:rPr>
          <w:rFonts w:eastAsia="仿宋_GB2312"/>
          <w:sz w:val="28"/>
          <w:szCs w:val="28"/>
        </w:rPr>
      </w:pPr>
      <w:r>
        <w:rPr>
          <w:rFonts w:hint="eastAsia" w:eastAsia="仿宋_GB2312"/>
          <w:sz w:val="28"/>
          <w:szCs w:val="28"/>
        </w:rPr>
        <w:t>2017年，11个地级市共监测地下水基础井204眼，</w:t>
      </w:r>
      <w:r>
        <w:rPr>
          <w:rFonts w:eastAsia="仿宋_GB2312"/>
          <w:sz w:val="28"/>
          <w:szCs w:val="28"/>
        </w:rPr>
        <w:t>按《地下水质量标准》(GB/T14848-93)进行评价，地下水总体水质为</w:t>
      </w:r>
      <w:r>
        <w:rPr>
          <w:rFonts w:hint="eastAsia" w:eastAsia="仿宋_GB2312"/>
          <w:sz w:val="28"/>
          <w:szCs w:val="28"/>
        </w:rPr>
        <w:t>较好</w:t>
      </w:r>
      <w:r>
        <w:rPr>
          <w:rFonts w:eastAsia="仿宋_GB2312"/>
          <w:sz w:val="28"/>
          <w:szCs w:val="28"/>
        </w:rPr>
        <w:t>。其中：</w:t>
      </w:r>
      <w:r>
        <w:rPr>
          <w:rFonts w:hint="eastAsia" w:eastAsia="仿宋_GB2312"/>
          <w:sz w:val="28"/>
          <w:szCs w:val="28"/>
        </w:rPr>
        <w:t>太原、大同、长治、晋中、忻州5个市水质良好，晋城、朔州、运城、临汾4个市水质较好，阳泉、吕梁2个市水质较差</w:t>
      </w:r>
      <w:r>
        <w:rPr>
          <w:rFonts w:eastAsia="仿宋_GB2312"/>
          <w:sz w:val="28"/>
          <w:szCs w:val="28"/>
        </w:rPr>
        <w:t>。与20</w:t>
      </w:r>
      <w:r>
        <w:rPr>
          <w:rFonts w:hint="eastAsia" w:eastAsia="仿宋_GB2312"/>
          <w:sz w:val="28"/>
          <w:szCs w:val="28"/>
        </w:rPr>
        <w:t>16</w:t>
      </w:r>
      <w:r>
        <w:rPr>
          <w:rFonts w:eastAsia="仿宋_GB2312"/>
          <w:sz w:val="28"/>
          <w:szCs w:val="28"/>
        </w:rPr>
        <w:t>年相比，</w:t>
      </w:r>
      <w:r>
        <w:rPr>
          <w:rFonts w:hint="eastAsia" w:eastAsia="仿宋_GB2312"/>
          <w:sz w:val="28"/>
          <w:szCs w:val="28"/>
        </w:rPr>
        <w:t>全省</w:t>
      </w:r>
      <w:r>
        <w:rPr>
          <w:rFonts w:eastAsia="仿宋_GB2312"/>
          <w:sz w:val="28"/>
          <w:szCs w:val="28"/>
        </w:rPr>
        <w:t>地下水总体水质基本稳定。</w:t>
      </w:r>
    </w:p>
    <w:p>
      <w:pPr>
        <w:spacing w:line="360" w:lineRule="auto"/>
        <w:ind w:firstLine="321" w:firstLineChars="100"/>
        <w:rPr>
          <w:rFonts w:ascii="仿宋_GB2312" w:eastAsia="仿宋_GB2312"/>
          <w:b/>
          <w:sz w:val="32"/>
          <w:szCs w:val="32"/>
        </w:rPr>
      </w:pPr>
      <w:r>
        <w:rPr>
          <w:rFonts w:hint="eastAsia" w:ascii="仿宋_GB2312" w:eastAsia="仿宋_GB2312"/>
          <w:b/>
          <w:sz w:val="32"/>
          <w:szCs w:val="32"/>
        </w:rPr>
        <w:t>（三）城市集中式生活饮用水源地水质</w:t>
      </w:r>
    </w:p>
    <w:p>
      <w:pPr>
        <w:spacing w:line="360" w:lineRule="auto"/>
        <w:ind w:firstLine="560" w:firstLineChars="200"/>
        <w:rPr>
          <w:rFonts w:eastAsia="仿宋_GB2312"/>
          <w:sz w:val="28"/>
          <w:szCs w:val="28"/>
        </w:rPr>
      </w:pPr>
      <w:bookmarkStart w:id="1" w:name="_Toc282706836"/>
      <w:r>
        <w:rPr>
          <w:rFonts w:eastAsia="仿宋_GB2312"/>
          <w:sz w:val="28"/>
          <w:szCs w:val="28"/>
        </w:rPr>
        <w:t>201</w:t>
      </w:r>
      <w:r>
        <w:rPr>
          <w:rFonts w:hint="eastAsia" w:eastAsia="仿宋_GB2312"/>
          <w:sz w:val="28"/>
          <w:szCs w:val="28"/>
        </w:rPr>
        <w:t>7</w:t>
      </w:r>
      <w:r>
        <w:rPr>
          <w:rFonts w:eastAsia="仿宋_GB2312"/>
          <w:sz w:val="28"/>
          <w:szCs w:val="28"/>
        </w:rPr>
        <w:t>年11个地级市共监测</w:t>
      </w:r>
      <w:r>
        <w:rPr>
          <w:rFonts w:hint="eastAsia" w:eastAsia="仿宋_GB2312"/>
          <w:sz w:val="28"/>
          <w:szCs w:val="28"/>
        </w:rPr>
        <w:t>26</w:t>
      </w:r>
      <w:r>
        <w:rPr>
          <w:rFonts w:eastAsia="仿宋_GB2312"/>
          <w:sz w:val="28"/>
          <w:szCs w:val="28"/>
        </w:rPr>
        <w:t>个</w:t>
      </w:r>
      <w:r>
        <w:rPr>
          <w:rFonts w:hint="eastAsia" w:eastAsia="仿宋_GB2312"/>
          <w:sz w:val="28"/>
          <w:szCs w:val="28"/>
        </w:rPr>
        <w:t>城市</w:t>
      </w:r>
      <w:r>
        <w:rPr>
          <w:rFonts w:eastAsia="仿宋_GB2312"/>
          <w:sz w:val="28"/>
          <w:szCs w:val="28"/>
        </w:rPr>
        <w:t>集中式饮用水源地，总体水质达标率为87.</w:t>
      </w:r>
      <w:r>
        <w:rPr>
          <w:rFonts w:hint="eastAsia" w:eastAsia="仿宋_GB2312"/>
          <w:sz w:val="28"/>
          <w:szCs w:val="28"/>
        </w:rPr>
        <w:t>0</w:t>
      </w:r>
      <w:r>
        <w:rPr>
          <w:rFonts w:eastAsia="仿宋_GB2312"/>
          <w:sz w:val="28"/>
          <w:szCs w:val="28"/>
        </w:rPr>
        <w:t>%。其中：太原、大同、长治、晋城、朔州、忻州、晋中、运城、吕梁9</w:t>
      </w:r>
      <w:r>
        <w:rPr>
          <w:rFonts w:hint="eastAsia" w:eastAsia="仿宋_GB2312"/>
          <w:sz w:val="28"/>
          <w:szCs w:val="28"/>
        </w:rPr>
        <w:t>个</w:t>
      </w:r>
      <w:r>
        <w:rPr>
          <w:rFonts w:eastAsia="仿宋_GB2312"/>
          <w:sz w:val="28"/>
          <w:szCs w:val="28"/>
        </w:rPr>
        <w:t>市水质达标率为100%，临汾、阳泉2</w:t>
      </w:r>
      <w:r>
        <w:rPr>
          <w:rFonts w:hint="eastAsia" w:eastAsia="仿宋_GB2312"/>
          <w:sz w:val="28"/>
          <w:szCs w:val="28"/>
        </w:rPr>
        <w:t>个</w:t>
      </w:r>
      <w:r>
        <w:rPr>
          <w:rFonts w:eastAsia="仿宋_GB2312"/>
          <w:sz w:val="28"/>
          <w:szCs w:val="28"/>
        </w:rPr>
        <w:t>市水质达标率为0%。与201</w:t>
      </w:r>
      <w:r>
        <w:rPr>
          <w:rFonts w:hint="eastAsia" w:eastAsia="仿宋_GB2312"/>
          <w:sz w:val="28"/>
          <w:szCs w:val="28"/>
        </w:rPr>
        <w:t>6</w:t>
      </w:r>
      <w:r>
        <w:rPr>
          <w:rFonts w:eastAsia="仿宋_GB2312"/>
          <w:sz w:val="28"/>
          <w:szCs w:val="28"/>
        </w:rPr>
        <w:t>年相比，水质基本保持稳定。</w:t>
      </w:r>
    </w:p>
    <w:p>
      <w:pPr>
        <w:pStyle w:val="4"/>
        <w:spacing w:beforeLines="50" w:afterLines="50" w:line="360" w:lineRule="auto"/>
        <w:rPr>
          <w:rFonts w:ascii="黑体" w:eastAsia="黑体"/>
          <w:sz w:val="32"/>
          <w:szCs w:val="32"/>
        </w:rPr>
      </w:pPr>
      <w:r>
        <w:rPr>
          <w:rFonts w:hint="eastAsia" w:ascii="黑体" w:eastAsia="黑体"/>
          <w:sz w:val="32"/>
          <w:szCs w:val="32"/>
        </w:rPr>
        <w:t>声</w:t>
      </w:r>
      <w:bookmarkEnd w:id="1"/>
      <w:r>
        <w:rPr>
          <w:rFonts w:hint="eastAsia" w:ascii="黑体" w:eastAsia="黑体"/>
          <w:sz w:val="32"/>
          <w:szCs w:val="32"/>
        </w:rPr>
        <w:t>环境质量</w:t>
      </w:r>
    </w:p>
    <w:p>
      <w:pPr>
        <w:spacing w:line="360" w:lineRule="auto"/>
        <w:ind w:firstLine="321" w:firstLineChars="100"/>
        <w:outlineLvl w:val="0"/>
        <w:rPr>
          <w:rFonts w:eastAsia="仿宋_GB2312"/>
          <w:sz w:val="28"/>
          <w:szCs w:val="28"/>
        </w:rPr>
      </w:pPr>
      <w:r>
        <w:rPr>
          <w:rFonts w:eastAsia="仿宋_GB2312"/>
          <w:b/>
          <w:sz w:val="32"/>
          <w:szCs w:val="32"/>
        </w:rPr>
        <w:t>（一）城市区域环境噪声</w:t>
      </w:r>
    </w:p>
    <w:p>
      <w:pPr>
        <w:spacing w:line="360" w:lineRule="auto"/>
        <w:ind w:firstLine="560"/>
        <w:rPr>
          <w:rFonts w:eastAsia="仿宋_GB2312"/>
          <w:sz w:val="28"/>
          <w:szCs w:val="28"/>
        </w:rPr>
      </w:pPr>
      <w:r>
        <w:rPr>
          <w:rFonts w:hint="eastAsia" w:eastAsia="仿宋_GB2312"/>
          <w:sz w:val="28"/>
          <w:szCs w:val="28"/>
        </w:rPr>
        <w:t>2017年，全省城市区域环境噪声监测点位2365个，</w:t>
      </w:r>
      <w:r>
        <w:rPr>
          <w:rFonts w:eastAsia="仿宋_GB2312"/>
          <w:sz w:val="28"/>
          <w:szCs w:val="28"/>
        </w:rPr>
        <w:t>按照《环境噪声监测技术规范 城市声环境常规监测》（HJ640-2012）进行评价</w:t>
      </w:r>
      <w:r>
        <w:rPr>
          <w:rFonts w:hint="eastAsia" w:eastAsia="仿宋_GB2312"/>
          <w:sz w:val="28"/>
          <w:szCs w:val="28"/>
        </w:rPr>
        <w:t>，</w:t>
      </w:r>
      <w:r>
        <w:rPr>
          <w:rFonts w:eastAsia="仿宋_GB2312"/>
          <w:sz w:val="28"/>
          <w:szCs w:val="28"/>
        </w:rPr>
        <w:t>全省城市区域环境噪声平均等效声级为</w:t>
      </w:r>
      <w:r>
        <w:rPr>
          <w:rFonts w:hint="eastAsia" w:eastAsia="仿宋_GB2312"/>
          <w:sz w:val="28"/>
          <w:szCs w:val="28"/>
        </w:rPr>
        <w:t>52.8</w:t>
      </w:r>
      <w:r>
        <w:rPr>
          <w:rFonts w:eastAsia="仿宋_GB2312"/>
          <w:sz w:val="28"/>
          <w:szCs w:val="28"/>
        </w:rPr>
        <w:t>dB(A)，</w:t>
      </w:r>
      <w:r>
        <w:rPr>
          <w:rFonts w:hint="eastAsia" w:eastAsia="仿宋_GB2312"/>
          <w:sz w:val="28"/>
          <w:szCs w:val="28"/>
        </w:rPr>
        <w:t>城市区域声环境质量级别为“较好”。与2016年相比，平均等效声级和质量级别均无变化。11个地级市中，运城市城市区域声环境质量为“好”，其余10个市城市区域声环境质量均为“较好”</w:t>
      </w:r>
      <w:r>
        <w:rPr>
          <w:rFonts w:eastAsia="仿宋_GB2312"/>
          <w:sz w:val="28"/>
          <w:szCs w:val="28"/>
        </w:rPr>
        <w:t>（图</w:t>
      </w:r>
      <w:r>
        <w:rPr>
          <w:rFonts w:hint="eastAsia" w:eastAsia="仿宋_GB2312"/>
          <w:sz w:val="28"/>
          <w:szCs w:val="28"/>
        </w:rPr>
        <w:t>5</w:t>
      </w:r>
      <w:r>
        <w:rPr>
          <w:rFonts w:eastAsia="仿宋_GB2312"/>
          <w:sz w:val="28"/>
          <w:szCs w:val="28"/>
        </w:rPr>
        <w:t>）。</w:t>
      </w:r>
    </w:p>
    <w:p>
      <w:pPr>
        <w:spacing w:line="360" w:lineRule="auto"/>
        <w:ind w:firstLine="560"/>
        <w:rPr>
          <w:rFonts w:eastAsia="仿宋_GB2312"/>
          <w:color w:val="FF0000"/>
          <w:sz w:val="28"/>
          <w:szCs w:val="28"/>
        </w:rPr>
      </w:pPr>
    </w:p>
    <w:p>
      <w:pPr>
        <w:jc w:val="center"/>
      </w:pPr>
      <w:r>
        <w:drawing>
          <wp:inline distT="0" distB="0" distL="0" distR="0">
            <wp:extent cx="4933315" cy="2530475"/>
            <wp:effectExtent l="0" t="0" r="0" b="0"/>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60" w:lineRule="auto"/>
        <w:ind w:firstLine="321" w:firstLineChars="100"/>
        <w:rPr>
          <w:rFonts w:eastAsia="仿宋_GB2312"/>
          <w:b/>
          <w:color w:val="000000" w:themeColor="text1"/>
          <w:sz w:val="32"/>
          <w:szCs w:val="32"/>
        </w:rPr>
      </w:pPr>
      <w:r>
        <w:rPr>
          <w:rFonts w:eastAsia="仿宋_GB2312"/>
          <w:b/>
          <w:color w:val="000000" w:themeColor="text1"/>
          <w:sz w:val="32"/>
          <w:szCs w:val="32"/>
        </w:rPr>
        <w:t>（二）城市道路交通噪声</w:t>
      </w:r>
    </w:p>
    <w:p>
      <w:pPr>
        <w:spacing w:line="360" w:lineRule="auto"/>
        <w:ind w:firstLine="560"/>
        <w:rPr>
          <w:rFonts w:eastAsia="仿宋_GB2312"/>
          <w:sz w:val="28"/>
          <w:szCs w:val="28"/>
        </w:rPr>
      </w:pPr>
      <w:r>
        <w:rPr>
          <w:rFonts w:hint="eastAsia" w:eastAsia="仿宋_GB2312"/>
          <w:sz w:val="28"/>
          <w:szCs w:val="28"/>
        </w:rPr>
        <w:t>2017年，全省城市道路交通噪声监测点位614个，</w:t>
      </w:r>
      <w:r>
        <w:rPr>
          <w:rFonts w:eastAsia="仿宋_GB2312"/>
          <w:sz w:val="28"/>
          <w:szCs w:val="28"/>
        </w:rPr>
        <w:t>按照《环境噪声监测技术规范 城市声环境常规监测》（HJ640-2012）进行评价，全省城市道路交通噪声平均等效声级为</w:t>
      </w:r>
      <w:r>
        <w:rPr>
          <w:rFonts w:hint="eastAsia" w:eastAsia="仿宋_GB2312"/>
          <w:sz w:val="28"/>
          <w:szCs w:val="28"/>
        </w:rPr>
        <w:t>65.2dB(A)，城市道路交通声环境质量级别为“好”。与2016年相比，平均等效声级下降0.6 dB(A)，声环境质量级别无变化。11个地级市中，朔州、临汾2个城市道路交通声环境质量等级为“较好”，其余9个城市道路交通声环境质量等级均为“好”</w:t>
      </w:r>
      <w:r>
        <w:rPr>
          <w:rFonts w:eastAsia="仿宋_GB2312"/>
          <w:sz w:val="28"/>
          <w:szCs w:val="28"/>
        </w:rPr>
        <w:t>（图</w:t>
      </w:r>
      <w:r>
        <w:rPr>
          <w:rFonts w:hint="eastAsia" w:eastAsia="仿宋_GB2312"/>
          <w:sz w:val="28"/>
          <w:szCs w:val="28"/>
        </w:rPr>
        <w:t>6</w:t>
      </w:r>
      <w:r>
        <w:rPr>
          <w:rFonts w:eastAsia="仿宋_GB2312"/>
          <w:sz w:val="28"/>
          <w:szCs w:val="28"/>
        </w:rPr>
        <w:t>）</w:t>
      </w:r>
    </w:p>
    <w:p>
      <w:pPr>
        <w:jc w:val="center"/>
      </w:pPr>
      <w:r>
        <w:drawing>
          <wp:inline distT="0" distB="0" distL="0" distR="0">
            <wp:extent cx="4933315" cy="2700655"/>
            <wp:effectExtent l="0" t="0" r="0" b="0"/>
            <wp:docPr id="2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60" w:lineRule="auto"/>
        <w:rPr>
          <w:rFonts w:eastAsia="仿宋_GB2312"/>
          <w:b/>
          <w:sz w:val="32"/>
          <w:szCs w:val="32"/>
        </w:rPr>
      </w:pPr>
    </w:p>
    <w:p>
      <w:pPr>
        <w:spacing w:line="360" w:lineRule="auto"/>
        <w:ind w:firstLine="321" w:firstLineChars="100"/>
        <w:rPr>
          <w:rFonts w:eastAsia="仿宋_GB2312"/>
          <w:b/>
          <w:sz w:val="32"/>
          <w:szCs w:val="32"/>
        </w:rPr>
      </w:pPr>
      <w:r>
        <w:rPr>
          <w:rFonts w:eastAsia="仿宋_GB2312"/>
          <w:b/>
          <w:sz w:val="32"/>
          <w:szCs w:val="32"/>
        </w:rPr>
        <w:t>（三）城市功能区噪声</w:t>
      </w:r>
    </w:p>
    <w:p>
      <w:pPr>
        <w:spacing w:line="360" w:lineRule="auto"/>
        <w:ind w:firstLine="552"/>
        <w:rPr>
          <w:rFonts w:eastAsia="仿宋_GB2312"/>
          <w:sz w:val="28"/>
          <w:szCs w:val="28"/>
        </w:rPr>
      </w:pPr>
      <w:r>
        <w:rPr>
          <w:rFonts w:hint="eastAsia" w:eastAsia="仿宋_GB2312"/>
          <w:sz w:val="28"/>
          <w:szCs w:val="28"/>
        </w:rPr>
        <w:t>2017年，全省11个地级市各类功能区环境噪声监测点位共80个，</w:t>
      </w:r>
      <w:r>
        <w:rPr>
          <w:rFonts w:eastAsia="仿宋_GB2312"/>
          <w:sz w:val="28"/>
          <w:szCs w:val="28"/>
        </w:rPr>
        <w:t>按照《声环境质量标准》（GB 3096-2008）进行评价，</w:t>
      </w:r>
      <w:r>
        <w:rPr>
          <w:rFonts w:hint="eastAsia" w:eastAsia="仿宋_GB2312"/>
          <w:sz w:val="28"/>
          <w:szCs w:val="28"/>
        </w:rPr>
        <w:t>全省城市功能区噪声昼、夜间达标率分别为86.3%、76.6%，与2016年相比，分别提高4.8%、4.2%。其中0类功能区1个，昼、夜间达标率均为25.0%；1类功能区27个，昼、夜间达标率分别为71.3%、68.5%；2类功能区25个，昼、夜间达标率分别为92.0%、86.0%；3类功能区12个，昼、夜间达标率分别为95.8%、89.6%；4类功能区15个，昼、夜间达标率分别为100%、68.3%。11 个地级市城市功能区噪声昼间达标率在50.0%~100%之间，夜间达标率在43.8%~100%之间</w:t>
      </w:r>
      <w:r>
        <w:rPr>
          <w:rFonts w:eastAsia="仿宋_GB2312"/>
          <w:sz w:val="28"/>
          <w:szCs w:val="28"/>
        </w:rPr>
        <w:t>（图</w:t>
      </w:r>
      <w:r>
        <w:rPr>
          <w:rFonts w:hint="eastAsia" w:eastAsia="仿宋_GB2312"/>
          <w:sz w:val="28"/>
          <w:szCs w:val="28"/>
        </w:rPr>
        <w:t>7</w:t>
      </w:r>
      <w:r>
        <w:rPr>
          <w:rFonts w:eastAsia="仿宋_GB2312"/>
          <w:sz w:val="28"/>
          <w:szCs w:val="28"/>
        </w:rPr>
        <w:t>）</w:t>
      </w:r>
      <w:r>
        <w:rPr>
          <w:rFonts w:hint="eastAsia" w:eastAsia="仿宋_GB2312"/>
          <w:sz w:val="28"/>
          <w:szCs w:val="28"/>
        </w:rPr>
        <w:t>。</w:t>
      </w:r>
    </w:p>
    <w:p>
      <w:pPr>
        <w:spacing w:line="360" w:lineRule="auto"/>
        <w:jc w:val="center"/>
        <w:rPr>
          <w:rFonts w:eastAsia="仿宋_GB2312"/>
          <w:sz w:val="28"/>
          <w:szCs w:val="28"/>
        </w:rPr>
      </w:pPr>
      <w:r>
        <w:rPr>
          <w:rFonts w:eastAsia="仿宋_GB2312"/>
          <w:color w:val="FF0000"/>
          <w:sz w:val="28"/>
          <w:szCs w:val="28"/>
        </w:rPr>
        <w:drawing>
          <wp:inline distT="0" distB="0" distL="0" distR="0">
            <wp:extent cx="5274310" cy="2336165"/>
            <wp:effectExtent l="0" t="0" r="0" b="0"/>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4"/>
        <w:spacing w:beforeLines="50" w:afterLines="50" w:line="360" w:lineRule="auto"/>
        <w:rPr>
          <w:rFonts w:ascii="黑体" w:eastAsia="黑体"/>
          <w:sz w:val="32"/>
          <w:szCs w:val="32"/>
        </w:rPr>
      </w:pPr>
      <w:r>
        <w:rPr>
          <w:rFonts w:hint="eastAsia" w:ascii="黑体" w:eastAsia="黑体"/>
          <w:sz w:val="32"/>
          <w:szCs w:val="32"/>
        </w:rPr>
        <w:t>辐射环境</w:t>
      </w:r>
    </w:p>
    <w:p>
      <w:pPr>
        <w:spacing w:line="360" w:lineRule="auto"/>
        <w:ind w:firstLine="552"/>
        <w:rPr>
          <w:rFonts w:ascii="仿宋" w:hAnsi="仿宋" w:eastAsia="仿宋"/>
          <w:sz w:val="32"/>
          <w:szCs w:val="32"/>
        </w:rPr>
      </w:pPr>
      <w:r>
        <w:rPr>
          <w:rFonts w:hint="eastAsia" w:eastAsia="仿宋_GB2312"/>
          <w:sz w:val="28"/>
          <w:szCs w:val="28"/>
        </w:rPr>
        <w:t>2017年，全省辐射环境质量总体良好。实时连续伽马辐射剂量率和累积剂量处于当地天然本底涨落范围内。气溶胶、沉降物、土壤、地表水、饮用水源地水、地下水中天然放射性核素活度浓度处于天然本底水平。空气（水蒸汽）和降水中氚活度浓度、空气中气态放射性碘未见异常。城市集中式饮用水水源地水总α和总β活度浓度低于《生活饮用水卫生标准》（GB 5749-2006）规定的限值。环境电磁辐射射频综合场强监测结果远低于《电磁环境控制限值》（GB8702-2014）中规定的公众曝露控制限值12V/m（频率范围为30～3000MHz）。</w:t>
      </w:r>
    </w:p>
    <w:p>
      <w:pPr>
        <w:pStyle w:val="4"/>
        <w:spacing w:beforeLines="50" w:afterLines="50" w:line="360" w:lineRule="auto"/>
        <w:rPr>
          <w:rFonts w:ascii="黑体" w:eastAsia="黑体"/>
          <w:sz w:val="32"/>
          <w:szCs w:val="32"/>
        </w:rPr>
      </w:pPr>
      <w:r>
        <w:rPr>
          <w:rFonts w:hint="eastAsia" w:ascii="黑体" w:eastAsia="黑体"/>
          <w:sz w:val="32"/>
          <w:szCs w:val="32"/>
        </w:rPr>
        <w:t>自然生态环境</w:t>
      </w:r>
    </w:p>
    <w:p>
      <w:pPr>
        <w:spacing w:line="360" w:lineRule="auto"/>
        <w:ind w:firstLine="552"/>
        <w:rPr>
          <w:rFonts w:hint="eastAsia" w:eastAsia="仿宋_GB2312"/>
          <w:sz w:val="28"/>
          <w:szCs w:val="28"/>
        </w:rPr>
      </w:pPr>
      <w:r>
        <w:rPr>
          <w:rFonts w:hint="eastAsia" w:eastAsia="仿宋_GB2312"/>
          <w:sz w:val="28"/>
          <w:szCs w:val="28"/>
        </w:rPr>
        <w:t>截止2017年底，全省共建成自然保护区46个，其中国家级7个，省级39个;自然保护区面积达110万公顷，占全省国土面积的7.4%。全省共有国家级生态示范区16个，省级生态功能保护区2个；共有国家级生态乡镇8个，国家级生态村3个；共有省级生态县2个，省级生态乡镇257个，省级生态村1454个。</w:t>
      </w:r>
    </w:p>
    <w:p>
      <w:pPr>
        <w:spacing w:line="360" w:lineRule="auto"/>
        <w:ind w:firstLine="552"/>
        <w:rPr>
          <w:rFonts w:hint="eastAsia" w:eastAsia="仿宋_GB2312"/>
          <w:sz w:val="28"/>
          <w:szCs w:val="28"/>
        </w:rPr>
      </w:pPr>
      <w:r>
        <w:rPr>
          <w:rFonts w:hint="eastAsia" w:eastAsia="仿宋_GB2312"/>
          <w:sz w:val="28"/>
          <w:szCs w:val="28"/>
        </w:rPr>
        <w:t>地形、地貌、气候、土壤的复杂多样，造就了我省生物种类的多样性。山西省野生脊椎动物和野生维管束植物种类共有2602种，其中野生维管束植物共152科685属2121种，包括蕨类植物22科39属95种，裸子植物4科8属14种，被子植物126科638属2012种；野生脊椎动物共34目108科481种，包括哺乳类7目22科65种，鸟类17目64科329种，爬行类共2目7科27种，两栖类2目5科12种，鱼类6目10科48种。</w:t>
      </w:r>
    </w:p>
    <w:p>
      <w:pPr>
        <w:spacing w:line="360" w:lineRule="auto"/>
        <w:ind w:firstLine="552"/>
        <w:rPr>
          <w:rFonts w:hint="eastAsia" w:eastAsia="仿宋_GB2312"/>
          <w:sz w:val="28"/>
          <w:szCs w:val="28"/>
        </w:rPr>
      </w:pPr>
      <w:r>
        <w:rPr>
          <w:rFonts w:hint="eastAsia" w:eastAsia="仿宋_GB2312"/>
          <w:sz w:val="28"/>
          <w:szCs w:val="28"/>
        </w:rPr>
        <w:t>我省境内共有中国特有种635种，其中，野生维管束植物特有种591种，野生脊椎动物特有种44种。有国家一级保护动物7种，二级保护动物51种；有国家一级保护植物1种，二级保护植物7种。维管束植物中属于极危物种1种，濒危物种10种，易危物种53种。野生脊椎动物中属于极危物种2种，濒危物种11种，易危与近危物种62种。</w:t>
      </w:r>
    </w:p>
    <w:p>
      <w:pPr>
        <w:autoSpaceDN w:val="0"/>
        <w:spacing w:line="480" w:lineRule="atLeast"/>
        <w:ind w:firstLine="640" w:firstLineChars="200"/>
        <w:jc w:val="left"/>
        <w:rPr>
          <w:rFonts w:ascii="仿宋" w:hAnsi="仿宋" w:eastAsia="仿宋"/>
          <w:color w:val="FF0000"/>
          <w:sz w:val="32"/>
        </w:rPr>
      </w:pPr>
    </w:p>
    <w:p>
      <w:pPr>
        <w:spacing w:beforeLines="50" w:afterLines="50"/>
        <w:jc w:val="center"/>
        <w:rPr>
          <w:rFonts w:ascii="楷体" w:hAnsi="楷体" w:eastAsia="楷体" w:cs="仿宋_GB2312"/>
          <w:b/>
          <w:bCs/>
          <w:sz w:val="44"/>
          <w:szCs w:val="44"/>
        </w:rPr>
      </w:pPr>
      <w:r>
        <w:rPr>
          <w:rFonts w:hint="eastAsia" w:ascii="楷体" w:hAnsi="楷体" w:eastAsia="楷体" w:cs="仿宋_GB2312"/>
          <w:b/>
          <w:bCs/>
          <w:sz w:val="44"/>
          <w:szCs w:val="44"/>
        </w:rPr>
        <w:t>保护环境的措施与行动</w:t>
      </w:r>
    </w:p>
    <w:p>
      <w:pPr>
        <w:rPr>
          <w:rFonts w:ascii="黑体" w:hAnsi="黑体" w:eastAsia="黑体" w:cs="宋体"/>
          <w:bCs/>
          <w:color w:val="333333"/>
          <w:sz w:val="32"/>
          <w:szCs w:val="32"/>
        </w:rPr>
      </w:pPr>
      <w:r>
        <w:rPr>
          <w:rFonts w:hint="eastAsia" w:ascii="黑体" w:hAnsi="黑体" w:eastAsia="黑体" w:cs="宋体"/>
          <w:bCs/>
          <w:color w:val="333333"/>
          <w:sz w:val="32"/>
          <w:szCs w:val="32"/>
        </w:rPr>
        <w:t>主要污染物总量减排</w:t>
      </w:r>
    </w:p>
    <w:p>
      <w:pPr>
        <w:spacing w:line="360" w:lineRule="auto"/>
        <w:ind w:firstLine="552"/>
        <w:rPr>
          <w:rFonts w:hint="eastAsia" w:eastAsia="仿宋_GB2312"/>
          <w:sz w:val="28"/>
          <w:szCs w:val="28"/>
        </w:rPr>
      </w:pPr>
      <w:r>
        <w:rPr>
          <w:rFonts w:hint="eastAsia" w:eastAsia="仿宋_GB2312"/>
          <w:sz w:val="28"/>
          <w:szCs w:val="28"/>
        </w:rPr>
        <w:t>主要污染物总量减排是国家“十三五”约束性考核指标之一，是实现环境质量改善目标的重要支撑。我省紧紧围绕环境质量改善，重点推进散煤清洁化治理、电力行业超低排放改造、重点工业行业提标改造、燃煤锅炉综合整治、移动源大气污染防治、关停淘汰等六大重点减排工程。经</w:t>
      </w:r>
      <w:r>
        <w:rPr>
          <w:rFonts w:hint="eastAsia" w:eastAsia="仿宋_GB2312"/>
          <w:sz w:val="28"/>
          <w:szCs w:val="28"/>
          <w:lang w:eastAsia="zh-CN"/>
        </w:rPr>
        <w:t>生态</w:t>
      </w:r>
      <w:r>
        <w:rPr>
          <w:rFonts w:hint="eastAsia" w:eastAsia="仿宋_GB2312"/>
          <w:sz w:val="28"/>
          <w:szCs w:val="28"/>
        </w:rPr>
        <w:t>环境部初步核查，2017年，全省二氧化硫排放总量较2015年下降10.9%，重点工程减排量11.7万吨；氮氧化物排放总量较2015年下降10.4%，重点工程减排量10.3万吨。</w:t>
      </w:r>
    </w:p>
    <w:p>
      <w:pPr>
        <w:spacing w:line="360" w:lineRule="auto"/>
        <w:ind w:firstLine="552"/>
        <w:rPr>
          <w:rFonts w:hint="eastAsia" w:eastAsia="仿宋_GB2312"/>
          <w:sz w:val="28"/>
          <w:szCs w:val="28"/>
        </w:rPr>
      </w:pPr>
      <w:r>
        <w:rPr>
          <w:rFonts w:hint="eastAsia" w:eastAsia="仿宋_GB2312"/>
          <w:sz w:val="28"/>
          <w:szCs w:val="28"/>
        </w:rPr>
        <w:t>重点围绕“工业、生活、农业、再生水利用”等四个方面，推进水污染物总量减排工作。一是推进工业企业专项整治与清洁化改造。二是强力推进城镇污水处理设施提标改造和生活污水配套管网建设，实施城镇合流制系统雨污分流改造。三是持续推进规模化畜禽养殖粪污治理与资源化利用。四是从城市杂用、工业回用及景观用水方面推进再生水利用工程。共确定了425个减排项目，支撑年度减排任务完成。经</w:t>
      </w:r>
      <w:r>
        <w:rPr>
          <w:rFonts w:hint="eastAsia" w:eastAsia="仿宋_GB2312"/>
          <w:sz w:val="28"/>
          <w:szCs w:val="28"/>
          <w:lang w:eastAsia="zh-CN"/>
        </w:rPr>
        <w:t>生态</w:t>
      </w:r>
      <w:r>
        <w:rPr>
          <w:rFonts w:hint="eastAsia" w:eastAsia="仿宋_GB2312"/>
          <w:sz w:val="28"/>
          <w:szCs w:val="28"/>
        </w:rPr>
        <w:t>环境部初步核查，2017年，全省化学需氧量排放量较2015年削减11.99%，重点工程较2015年减排4.14万吨；氨氮排放量较2015年削减9.68%，重点工程较2015年减排0.42万吨。</w:t>
      </w:r>
    </w:p>
    <w:p>
      <w:pPr>
        <w:pStyle w:val="4"/>
        <w:spacing w:beforeLines="50" w:afterLines="50" w:line="360" w:lineRule="auto"/>
        <w:rPr>
          <w:rFonts w:ascii="黑体" w:eastAsia="黑体"/>
          <w:sz w:val="32"/>
          <w:szCs w:val="32"/>
        </w:rPr>
      </w:pPr>
      <w:r>
        <w:rPr>
          <w:rFonts w:hint="eastAsia" w:ascii="黑体" w:eastAsia="黑体"/>
          <w:sz w:val="32"/>
          <w:szCs w:val="32"/>
        </w:rPr>
        <w:t>环境法制建设</w:t>
      </w:r>
    </w:p>
    <w:p>
      <w:pPr>
        <w:spacing w:line="360" w:lineRule="auto"/>
        <w:ind w:firstLine="552"/>
        <w:rPr>
          <w:rFonts w:hint="eastAsia" w:eastAsia="仿宋_GB2312"/>
          <w:sz w:val="28"/>
          <w:szCs w:val="28"/>
        </w:rPr>
      </w:pPr>
      <w:r>
        <w:rPr>
          <w:rFonts w:hint="eastAsia" w:eastAsia="仿宋_GB2312"/>
          <w:sz w:val="28"/>
          <w:szCs w:val="28"/>
        </w:rPr>
        <w:t>出台了《山西省环境保护厅规范性文件制定与审查办法》，为提高我厅规范性文件管理质量提供了依据，2017年全年共对6件拟出台的规范性文件实施了合法性审查。同时对环境保护“放管服效”改革涉及的规范性文件集中进行了清理，按照“放管服效”改革要求，共废止了19件规范性文件。</w:t>
      </w:r>
    </w:p>
    <w:p>
      <w:pPr>
        <w:spacing w:line="360" w:lineRule="auto"/>
        <w:ind w:firstLine="552"/>
        <w:rPr>
          <w:rFonts w:hint="eastAsia" w:eastAsia="仿宋_GB2312"/>
          <w:sz w:val="28"/>
          <w:szCs w:val="28"/>
        </w:rPr>
      </w:pPr>
      <w:r>
        <w:rPr>
          <w:rFonts w:hint="eastAsia" w:eastAsia="仿宋_GB2312"/>
          <w:sz w:val="28"/>
          <w:szCs w:val="28"/>
        </w:rPr>
        <w:t>我厅与山西省高级人民法院联合下发《山西省高级人民法院与山西省环境保护厅司法审判与行政执法协调工作机制的意见（试行）》，建立了环境司法审判与行政执法沟通会商机制、信息共享机制，为多元化解决环境资源纠纷奠定了坚实基础。</w:t>
      </w:r>
    </w:p>
    <w:p>
      <w:pPr>
        <w:spacing w:line="360" w:lineRule="auto"/>
        <w:ind w:firstLine="552"/>
        <w:rPr>
          <w:rFonts w:hint="eastAsia" w:eastAsia="仿宋_GB2312"/>
          <w:sz w:val="28"/>
          <w:szCs w:val="28"/>
        </w:rPr>
      </w:pPr>
      <w:r>
        <w:rPr>
          <w:rFonts w:hint="eastAsia" w:eastAsia="仿宋_GB2312"/>
          <w:sz w:val="28"/>
          <w:szCs w:val="28"/>
        </w:rPr>
        <w:t>制定了《山西省环境保护厅关于在市场体系建设中建立公平竞争审查制度的通知》，明确审查范围、审查原则和审查机构。同时对现行政策措施进行公平性的自查，确保没有影响市场公平竞争的环保政策和措施实施。</w:t>
      </w:r>
    </w:p>
    <w:p>
      <w:pPr>
        <w:spacing w:line="360" w:lineRule="auto"/>
        <w:ind w:firstLine="552"/>
        <w:rPr>
          <w:rFonts w:hint="eastAsia" w:eastAsia="仿宋_GB2312"/>
          <w:sz w:val="28"/>
          <w:szCs w:val="28"/>
        </w:rPr>
      </w:pPr>
      <w:r>
        <w:rPr>
          <w:rFonts w:hint="eastAsia" w:eastAsia="仿宋_GB2312"/>
          <w:sz w:val="28"/>
          <w:szCs w:val="28"/>
        </w:rPr>
        <w:t xml:space="preserve"> 我厅联合省司法厅制定出台了一系列生态环境损害赔偿制度，建立了山西省环境损害司法鉴定机构登记评审专家库，基本构建了我省生态环境损害赔偿制度框架。</w:t>
      </w:r>
    </w:p>
    <w:p>
      <w:pPr>
        <w:spacing w:line="360" w:lineRule="auto"/>
        <w:ind w:firstLine="552"/>
        <w:rPr>
          <w:rFonts w:hint="eastAsia" w:eastAsia="仿宋_GB2312"/>
          <w:sz w:val="28"/>
          <w:szCs w:val="28"/>
        </w:rPr>
      </w:pPr>
    </w:p>
    <w:p>
      <w:pPr>
        <w:spacing w:line="560" w:lineRule="exact"/>
        <w:jc w:val="left"/>
        <w:outlineLvl w:val="0"/>
        <w:rPr>
          <w:rFonts w:hint="eastAsia" w:ascii="黑体" w:hAnsi="黑体" w:eastAsia="黑体"/>
          <w:sz w:val="32"/>
        </w:rPr>
      </w:pPr>
      <w:r>
        <w:rPr>
          <w:rFonts w:hint="eastAsia" w:ascii="黑体" w:hAnsi="黑体" w:eastAsia="黑体"/>
          <w:sz w:val="32"/>
        </w:rPr>
        <w:t>环保</w:t>
      </w:r>
      <w:r>
        <w:rPr>
          <w:rFonts w:hint="eastAsia" w:ascii="黑体" w:hAnsi="黑体" w:eastAsia="黑体"/>
          <w:sz w:val="32"/>
          <w:lang w:eastAsia="zh-CN"/>
        </w:rPr>
        <w:t>资金</w:t>
      </w:r>
      <w:r>
        <w:rPr>
          <w:rFonts w:hint="eastAsia" w:ascii="黑体" w:hAnsi="黑体" w:eastAsia="黑体"/>
          <w:sz w:val="32"/>
        </w:rPr>
        <w:t>投入</w:t>
      </w:r>
    </w:p>
    <w:p>
      <w:pPr>
        <w:spacing w:line="360" w:lineRule="auto"/>
        <w:ind w:firstLine="552"/>
        <w:rPr>
          <w:rFonts w:hint="eastAsia" w:eastAsia="仿宋_GB2312"/>
          <w:sz w:val="28"/>
          <w:szCs w:val="28"/>
        </w:rPr>
      </w:pPr>
      <w:r>
        <w:rPr>
          <w:rFonts w:hint="eastAsia" w:eastAsia="仿宋_GB2312"/>
          <w:sz w:val="28"/>
          <w:szCs w:val="28"/>
        </w:rPr>
        <w:t>2017年山西省环境保护专项资金共计投入32.87亿元，主要用于大气、水、土壤污染防治、农村环境综合整治和能力建设等方面，其中，大气污染防治专项资金投入24.08亿元、水污染防治专项资金投入6.47亿元、土壤污染防治专项资金投入1.49亿元</w:t>
      </w:r>
      <w:r>
        <w:rPr>
          <w:rFonts w:hint="eastAsia" w:eastAsia="仿宋_GB2312"/>
          <w:b/>
          <w:bCs/>
          <w:color w:val="auto"/>
          <w:sz w:val="28"/>
          <w:szCs w:val="28"/>
          <w:lang w:eastAsia="zh-CN"/>
        </w:rPr>
        <w:t>、</w:t>
      </w:r>
      <w:r>
        <w:rPr>
          <w:rFonts w:hint="eastAsia" w:eastAsia="仿宋_GB2312"/>
          <w:sz w:val="28"/>
          <w:szCs w:val="28"/>
        </w:rPr>
        <w:t>农村专项资金投入0.27亿元</w:t>
      </w:r>
      <w:r>
        <w:rPr>
          <w:rFonts w:hint="eastAsia" w:eastAsia="仿宋_GB2312"/>
          <w:sz w:val="28"/>
          <w:szCs w:val="28"/>
          <w:lang w:eastAsia="zh-CN"/>
        </w:rPr>
        <w:t>、</w:t>
      </w:r>
      <w:r>
        <w:rPr>
          <w:rFonts w:hint="eastAsia" w:eastAsia="仿宋_GB2312"/>
          <w:sz w:val="28"/>
          <w:szCs w:val="28"/>
        </w:rPr>
        <w:t>能力建设专项资金</w:t>
      </w:r>
      <w:r>
        <w:rPr>
          <w:rFonts w:hint="eastAsia" w:eastAsia="仿宋_GB2312"/>
          <w:sz w:val="28"/>
          <w:szCs w:val="28"/>
          <w:lang w:eastAsia="zh-CN"/>
        </w:rPr>
        <w:t>投入</w:t>
      </w:r>
      <w:r>
        <w:rPr>
          <w:rFonts w:hint="eastAsia" w:eastAsia="仿宋_GB2312"/>
          <w:sz w:val="28"/>
          <w:szCs w:val="28"/>
        </w:rPr>
        <w:t>0.56亿元。</w:t>
      </w:r>
    </w:p>
    <w:p>
      <w:pPr>
        <w:spacing w:line="360" w:lineRule="auto"/>
        <w:ind w:firstLine="552"/>
        <w:rPr>
          <w:rFonts w:hint="eastAsia" w:eastAsia="仿宋_GB2312"/>
          <w:sz w:val="28"/>
          <w:szCs w:val="28"/>
        </w:rPr>
      </w:pPr>
      <w:r>
        <w:rPr>
          <w:rFonts w:hint="eastAsia" w:eastAsia="仿宋_GB2312"/>
          <w:sz w:val="28"/>
          <w:szCs w:val="28"/>
        </w:rPr>
        <w:t>2017年环保专项资金下达各市后，各市紧紧围绕《大气污染防治行动计划》、《水污染防治行动计划》、《土壤污染防治行动计划》和《山西省环境保护“十三五”规划》的目标指标和具体工作要求，将专项资金落实到重点工程，通过重点工程的实施，积极推进三大计划和山西省环境保护“十三五”规划的实施。</w:t>
      </w:r>
    </w:p>
    <w:p>
      <w:pPr>
        <w:spacing w:line="360" w:lineRule="auto"/>
        <w:ind w:firstLine="552"/>
        <w:rPr>
          <w:rFonts w:hint="eastAsia" w:eastAsia="仿宋_GB2312"/>
          <w:sz w:val="28"/>
          <w:szCs w:val="28"/>
        </w:rPr>
      </w:pPr>
      <w:r>
        <w:rPr>
          <w:rFonts w:hint="eastAsia" w:eastAsia="仿宋_GB2312"/>
          <w:sz w:val="28"/>
          <w:szCs w:val="28"/>
        </w:rPr>
        <w:t>2017年省级环保能力建设项目主要用于省本级能力建设，包括：山西省移动式大气环境监测质控车建设、山西省水环境监测数据联网建设、全省重点县空气自动监测站事权上收、生态环境大数据建设项目（一期）、山西省省级环境自动监控信息管理平台建设和山西省环保厅援疆监测仪器设备能力建设等项目。</w:t>
      </w:r>
    </w:p>
    <w:p>
      <w:pPr>
        <w:pStyle w:val="4"/>
        <w:spacing w:beforeLines="50" w:afterLines="50" w:line="360" w:lineRule="auto"/>
        <w:rPr>
          <w:rFonts w:ascii="黑体" w:eastAsia="黑体"/>
          <w:sz w:val="32"/>
          <w:szCs w:val="32"/>
        </w:rPr>
      </w:pPr>
      <w:r>
        <w:rPr>
          <w:rFonts w:hint="eastAsia" w:ascii="黑体" w:eastAsia="黑体"/>
          <w:sz w:val="32"/>
          <w:szCs w:val="32"/>
        </w:rPr>
        <w:t>环境影响评价制度</w:t>
      </w:r>
      <w:r>
        <w:rPr>
          <w:rFonts w:hint="eastAsia" w:ascii="黑体" w:eastAsia="黑体"/>
          <w:sz w:val="32"/>
          <w:szCs w:val="32"/>
          <w:lang w:eastAsia="zh-CN"/>
        </w:rPr>
        <w:t>执行</w:t>
      </w:r>
    </w:p>
    <w:p>
      <w:pPr>
        <w:spacing w:line="360" w:lineRule="auto"/>
        <w:ind w:firstLine="552"/>
        <w:rPr>
          <w:rFonts w:hint="eastAsia" w:eastAsia="仿宋_GB2312"/>
          <w:sz w:val="28"/>
          <w:szCs w:val="28"/>
        </w:rPr>
      </w:pPr>
      <w:r>
        <w:rPr>
          <w:rFonts w:hint="eastAsia" w:eastAsia="仿宋_GB2312"/>
          <w:sz w:val="28"/>
          <w:szCs w:val="28"/>
        </w:rPr>
        <w:t>认真贯彻国家和我省关于简政放权的改革精神，积极做好环评业务的服务工作。省政府印发了《关于加强环境保护促进开发区绿色发展的实施意见》，赋予开发区市级环评审批权限；实行环境影响登记表备案制，全省累计备案项目8868个；优化审批流程，精简环评前置条件和申报材料，取消了水土保持批复、部门预审、执行标准复函等环境影响评价前置条件，有效提升了环评服务效能。全省累计批复建设项目环境影响报告书（表）3960个，其中环境影响报告书688个，环境影响报告表3272个。省本级全年审批项目14个。</w:t>
      </w:r>
    </w:p>
    <w:p>
      <w:pPr>
        <w:spacing w:line="360" w:lineRule="auto"/>
        <w:ind w:firstLine="552"/>
        <w:rPr>
          <w:rFonts w:hint="eastAsia" w:eastAsia="仿宋_GB2312"/>
          <w:sz w:val="28"/>
          <w:szCs w:val="28"/>
        </w:rPr>
      </w:pPr>
      <w:r>
        <w:rPr>
          <w:rFonts w:hint="eastAsia" w:eastAsia="仿宋_GB2312"/>
          <w:sz w:val="28"/>
          <w:szCs w:val="28"/>
        </w:rPr>
        <w:t>围绕着提升环评文件质量和规范环评机构管理，加强了对环境影响报告书（表）质量和环评机构的考核，印发了《关于做好建设项目环境影响评价文件及环评机构考核工作的通知》，开展了对2016年全省环境影响报告书（表）的技术复核工作，促进了我省环评工作规范、健康、稳定开展。</w:t>
      </w:r>
    </w:p>
    <w:p>
      <w:pPr>
        <w:spacing w:line="360" w:lineRule="auto"/>
        <w:ind w:firstLine="552"/>
        <w:rPr>
          <w:rFonts w:hint="eastAsia" w:eastAsia="仿宋_GB2312"/>
          <w:sz w:val="28"/>
          <w:szCs w:val="28"/>
        </w:rPr>
      </w:pPr>
    </w:p>
    <w:p>
      <w:pPr>
        <w:shd w:val="solid" w:color="FFFFFF" w:fill="auto"/>
        <w:autoSpaceDN w:val="0"/>
        <w:spacing w:line="570" w:lineRule="atLeast"/>
        <w:rPr>
          <w:rFonts w:ascii="黑体" w:hAnsi="黑体" w:eastAsia="黑体"/>
          <w:sz w:val="32"/>
          <w:szCs w:val="32"/>
        </w:rPr>
      </w:pPr>
      <w:r>
        <w:rPr>
          <w:rFonts w:hint="eastAsia" w:ascii="黑体" w:hAnsi="黑体" w:eastAsia="黑体"/>
          <w:sz w:val="32"/>
          <w:szCs w:val="32"/>
        </w:rPr>
        <w:t>建设项目环保“三同时”管理</w:t>
      </w:r>
    </w:p>
    <w:p>
      <w:pPr>
        <w:spacing w:line="360" w:lineRule="auto"/>
        <w:ind w:firstLine="552"/>
        <w:rPr>
          <w:rFonts w:hint="eastAsia" w:eastAsia="仿宋_GB2312"/>
          <w:sz w:val="28"/>
          <w:szCs w:val="28"/>
        </w:rPr>
      </w:pPr>
      <w:r>
        <w:rPr>
          <w:rFonts w:hint="eastAsia" w:eastAsia="仿宋_GB2312"/>
          <w:sz w:val="28"/>
          <w:szCs w:val="28"/>
        </w:rPr>
        <w:t>按照《建设项目环境保护管理条例》等相关规定，积极指导和督促各市、县环境保护主管部门开展建设项目环保“三同时”管理工作。印发了《山西省环境保护厅关于进一步加强建设项目环境保护事中事后监管的通知》，加强建设项目事中事后监管和排污许可证证后监管，倒逼建设单位切实承担环境保护主体责任，落实“三同时”管理相关要求，加大信息公开力度，以适应企业投资项目试行承诺制、实行无审批试点工作的需要。积极开展建设项目竣工环保验收审批工作，全年省环保厅共批复8个建设项目的竣工环保验收。</w:t>
      </w:r>
    </w:p>
    <w:p>
      <w:pPr>
        <w:spacing w:line="360" w:lineRule="auto"/>
        <w:ind w:firstLine="552"/>
        <w:rPr>
          <w:rFonts w:hint="eastAsia" w:eastAsia="仿宋_GB2312"/>
          <w:sz w:val="28"/>
          <w:szCs w:val="28"/>
        </w:rPr>
      </w:pPr>
    </w:p>
    <w:p>
      <w:pPr>
        <w:jc w:val="left"/>
        <w:rPr>
          <w:rFonts w:ascii="仿宋_GB2312" w:hAnsi="仿宋_GB2312" w:eastAsia="仿宋_GB2312"/>
          <w:sz w:val="32"/>
        </w:rPr>
      </w:pPr>
      <w:r>
        <w:rPr>
          <w:rFonts w:hint="eastAsia" w:ascii="黑体" w:hAnsi="黑体" w:eastAsia="黑体"/>
          <w:sz w:val="32"/>
        </w:rPr>
        <w:t xml:space="preserve">排污许可证核发与管理  </w:t>
      </w:r>
      <w:r>
        <w:rPr>
          <w:rFonts w:hint="eastAsia" w:ascii="仿宋_GB2312" w:hAnsi="仿宋_GB2312" w:eastAsia="仿宋_GB2312"/>
          <w:sz w:val="32"/>
        </w:rPr>
        <w:t xml:space="preserve">  </w:t>
      </w:r>
    </w:p>
    <w:p>
      <w:pPr>
        <w:spacing w:line="360" w:lineRule="auto"/>
        <w:ind w:firstLine="552"/>
        <w:rPr>
          <w:rFonts w:ascii="仿宋_GB2312" w:hAnsi="仿宋_GB2312" w:eastAsia="仿宋_GB2312"/>
          <w:color w:val="FF0000"/>
          <w:sz w:val="32"/>
        </w:rPr>
      </w:pPr>
      <w:r>
        <w:rPr>
          <w:rFonts w:hint="eastAsia" w:eastAsia="仿宋_GB2312"/>
          <w:sz w:val="28"/>
          <w:szCs w:val="28"/>
        </w:rPr>
        <w:t>2017年是国家排污许可制度改革开启之年，我省积极推进排污许可制度改革，省政府印发了《控制污染物排放许可制实施计划》，对排污许可制度改革进行了全面安排部署；申请获得了全国焦化行业排污许可证申请与核发试点省，组织研究制定了《排污许可证申请与核发技术规范 炼焦化学工业》（HJ854-2017）作为</w:t>
      </w:r>
      <w:r>
        <w:rPr>
          <w:rFonts w:hint="eastAsia" w:eastAsia="仿宋_GB2312"/>
          <w:sz w:val="28"/>
          <w:szCs w:val="28"/>
          <w:lang w:eastAsia="zh-CN"/>
        </w:rPr>
        <w:t>生态环境</w:t>
      </w:r>
      <w:r>
        <w:rPr>
          <w:rFonts w:hint="eastAsia" w:eastAsia="仿宋_GB2312"/>
          <w:sz w:val="28"/>
          <w:szCs w:val="28"/>
        </w:rPr>
        <w:t>部标准，指导全国焦化行业排污许可证的申请与核发，并圆满完成了相关试点工作；积极开展排污许可证核发工作，2017年6月27日，晋中市核发了全省首张国家统一编码的排污许可证，2017年10月26日，长治市核发了全国首张焦化行业国家统一编码的排污许可证，2017年全省共核发国家统一编码的排污许可证539张，圆满完成了核发任务。</w:t>
      </w:r>
    </w:p>
    <w:p>
      <w:pPr>
        <w:pStyle w:val="4"/>
        <w:spacing w:beforeLines="50" w:afterLines="50" w:line="360" w:lineRule="auto"/>
        <w:rPr>
          <w:rFonts w:ascii="黑体" w:eastAsia="黑体"/>
          <w:sz w:val="32"/>
          <w:szCs w:val="32"/>
        </w:rPr>
      </w:pPr>
      <w:r>
        <w:rPr>
          <w:rFonts w:hint="eastAsia" w:ascii="黑体" w:eastAsia="黑体"/>
          <w:sz w:val="32"/>
          <w:szCs w:val="32"/>
        </w:rPr>
        <w:t>大气污染防治</w:t>
      </w:r>
    </w:p>
    <w:p>
      <w:pPr>
        <w:spacing w:line="360" w:lineRule="auto"/>
        <w:ind w:firstLine="552"/>
        <w:rPr>
          <w:rFonts w:hint="eastAsia" w:eastAsia="仿宋_GB2312"/>
          <w:sz w:val="28"/>
          <w:szCs w:val="28"/>
        </w:rPr>
      </w:pPr>
      <w:r>
        <w:rPr>
          <w:rFonts w:hint="eastAsia" w:eastAsia="仿宋_GB2312"/>
          <w:sz w:val="28"/>
          <w:szCs w:val="28"/>
        </w:rPr>
        <w:t>围绕“控煤、治污、管车、降尘”等领域，深入推进大气污染防治行动计划,开展秋冬季大气污染综合治理攻坚行动。印发了《关于进一步控制燃煤污染改善空气质量的通知》，实施散煤清洁化利用，完成清洁取暖工程113万户，淘汰燃煤锅炉1.1万台，8个市划定禁煤区。取缔“散乱污”企业7433家，“4+2”城市钢铁行业执行特别排放限值，煤电机组执行超低排放限值，2403家重点企业实施采暖季错峰生产。基本淘汰辖区内的黄标车。开展扬尘污染专项整治。强化重污染天气应对，共下达14次重污染天气调度令，督促各市严格落实应急减排措施。建立城市环境空气改善奖惩制度，从2017年10月起，按月对各市空气质量改善情况实施奖优罚劣，全年共扣罚13283万元、奖励8546万元。</w:t>
      </w:r>
    </w:p>
    <w:p>
      <w:pPr>
        <w:spacing w:line="360" w:lineRule="auto"/>
        <w:ind w:firstLine="552"/>
        <w:rPr>
          <w:rFonts w:hint="eastAsia" w:eastAsia="仿宋_GB2312"/>
          <w:sz w:val="28"/>
          <w:szCs w:val="28"/>
        </w:rPr>
      </w:pPr>
    </w:p>
    <w:p>
      <w:pPr>
        <w:pStyle w:val="4"/>
        <w:spacing w:beforeLines="50" w:afterLines="50" w:line="360" w:lineRule="auto"/>
        <w:rPr>
          <w:rFonts w:ascii="黑体" w:eastAsia="黑体"/>
          <w:sz w:val="32"/>
          <w:szCs w:val="32"/>
        </w:rPr>
      </w:pPr>
      <w:r>
        <w:rPr>
          <w:rFonts w:hint="eastAsia" w:ascii="黑体" w:eastAsia="黑体"/>
          <w:sz w:val="32"/>
          <w:szCs w:val="32"/>
        </w:rPr>
        <w:t>水污染防治</w:t>
      </w:r>
    </w:p>
    <w:p>
      <w:pPr>
        <w:spacing w:line="360" w:lineRule="auto"/>
        <w:ind w:firstLine="552"/>
        <w:rPr>
          <w:rFonts w:hint="eastAsia" w:eastAsia="仿宋_GB2312"/>
          <w:sz w:val="28"/>
          <w:szCs w:val="28"/>
        </w:rPr>
      </w:pPr>
      <w:r>
        <w:rPr>
          <w:rFonts w:hint="eastAsia" w:eastAsia="仿宋_GB2312"/>
          <w:sz w:val="28"/>
          <w:szCs w:val="28"/>
        </w:rPr>
        <w:t>认真落实国家《水污染防治行动计划》，制定并实施了《山西省水污染防治2017年行动计划》。加快推进工业集聚区水污染治理和重点行业清洁化改造，25个省级及以上工业集聚区全部完成了集中式污水处理设施建设并实现在线联网监控。严格饮用水源地环境监管，开展水源保护区违法排污清理整顿、水源地规范化管理等工作。出台《山西省城市地表水环境质量排名技术指南（试行）》，加大媒体和公众参与力度，督促各市积极推进水环境质量改善。</w:t>
      </w:r>
    </w:p>
    <w:p>
      <w:pPr>
        <w:spacing w:line="360" w:lineRule="auto"/>
        <w:ind w:firstLine="552"/>
        <w:rPr>
          <w:rFonts w:hint="eastAsia" w:eastAsia="仿宋_GB2312"/>
          <w:sz w:val="28"/>
          <w:szCs w:val="28"/>
        </w:rPr>
      </w:pPr>
      <w:r>
        <w:rPr>
          <w:rFonts w:hint="eastAsia" w:eastAsia="仿宋_GB2312"/>
          <w:sz w:val="28"/>
          <w:szCs w:val="28"/>
        </w:rPr>
        <w:t>制定了《山西省地表水跨界断面生态补偿考核方案》，科学实施地表水跨界断面水质考核。2017年扣缴6.5亿元，奖励1.7亿元,充分调动了地方政府改善河流水质的主动性和积极性。</w:t>
      </w:r>
    </w:p>
    <w:p>
      <w:pPr>
        <w:pStyle w:val="4"/>
        <w:spacing w:beforeLines="50" w:afterLines="50" w:line="360" w:lineRule="auto"/>
        <w:rPr>
          <w:rFonts w:ascii="黑体" w:eastAsia="黑体"/>
          <w:sz w:val="32"/>
          <w:szCs w:val="32"/>
        </w:rPr>
      </w:pPr>
      <w:r>
        <w:rPr>
          <w:rFonts w:hint="eastAsia" w:ascii="黑体" w:eastAsia="黑体"/>
          <w:sz w:val="32"/>
          <w:szCs w:val="32"/>
        </w:rPr>
        <w:t>噪声污染防治</w:t>
      </w:r>
    </w:p>
    <w:p>
      <w:pPr>
        <w:spacing w:line="360" w:lineRule="auto"/>
        <w:ind w:firstLine="552"/>
        <w:rPr>
          <w:rFonts w:hint="eastAsia" w:eastAsia="仿宋_GB2312"/>
          <w:sz w:val="28"/>
          <w:szCs w:val="28"/>
        </w:rPr>
      </w:pPr>
      <w:r>
        <w:rPr>
          <w:rFonts w:hint="eastAsia" w:eastAsia="仿宋_GB2312"/>
          <w:sz w:val="28"/>
          <w:szCs w:val="28"/>
        </w:rPr>
        <w:t>加强噪声日常监管工作，畅通各级环保“12369”、公安“110”、城建“12319”举报热线中的噪声污染投诉渠道。积极推进城市声环境功能区划分工作。在中高考期间、省内大型人事考试期间，通过环保、公安、城管等部门联动的方式开展“绿色护考”行动。作为省综治委铁路护路联防领导组成员之一，省环保厅厅全力配合开展全省铁路风险隐患整治工作。</w:t>
      </w:r>
    </w:p>
    <w:p>
      <w:pPr>
        <w:pStyle w:val="4"/>
        <w:spacing w:beforeLines="50" w:afterLines="50" w:line="360" w:lineRule="auto"/>
        <w:rPr>
          <w:rFonts w:ascii="黑体" w:eastAsia="黑体"/>
          <w:sz w:val="32"/>
          <w:szCs w:val="32"/>
        </w:rPr>
      </w:pPr>
      <w:r>
        <w:rPr>
          <w:rFonts w:hint="eastAsia" w:ascii="黑体" w:eastAsia="黑体"/>
          <w:sz w:val="32"/>
          <w:szCs w:val="32"/>
        </w:rPr>
        <w:t>土壤污染防治</w:t>
      </w:r>
    </w:p>
    <w:p>
      <w:pPr>
        <w:spacing w:line="360" w:lineRule="auto"/>
        <w:ind w:firstLine="552"/>
        <w:rPr>
          <w:rFonts w:hint="eastAsia" w:eastAsia="仿宋_GB2312"/>
          <w:sz w:val="28"/>
          <w:szCs w:val="28"/>
        </w:rPr>
      </w:pPr>
      <w:r>
        <w:rPr>
          <w:rFonts w:hint="eastAsia" w:eastAsia="仿宋_GB2312"/>
          <w:sz w:val="28"/>
          <w:szCs w:val="28"/>
        </w:rPr>
        <w:t>按照国务院《土壤污染防治行动计划》和《山西省土壤污染防治工作方案》要求，以深入开展农用地土壤污染状况详查为重点，大力推进全省土壤污染防治工作。制定了《山西省土壤污染状况详查工作方案》,完成了全省土壤环境质量国控监测点位设置和调整,公布了山西省土壤环境重点监管企业名单。启动了现有建设用地疑似污染地块安全利用现状调查；开展了重点行业涉重金属企业清查，建立了涉重金属企业环境管理清单；开展了煤矸石、粉煤灰环境污染治理大检查，制订了全省固体废物堆存场所和危险废物贮存、处置场所整治方案。完成了《山西省土壤污染防治目标责任书》任务分解，配合省政府与各市政府签订了目标责任书；组织全省产粮（油）大县、蔬菜产业重点县、国家现代农业示范区和省级现代农业示范县制订了土壤环境保护方案；重点推进了8个土壤污染治理修复试点示范项目，其中6个工业污染地块项目已全部启动，2个农用地项目已进入验收阶段。</w:t>
      </w:r>
    </w:p>
    <w:p>
      <w:pPr>
        <w:pStyle w:val="4"/>
        <w:spacing w:beforeLines="50" w:afterLines="50" w:line="360" w:lineRule="auto"/>
        <w:rPr>
          <w:rFonts w:ascii="黑体" w:eastAsia="黑体"/>
          <w:sz w:val="32"/>
          <w:szCs w:val="32"/>
        </w:rPr>
      </w:pPr>
      <w:r>
        <w:rPr>
          <w:rFonts w:hint="eastAsia" w:ascii="黑体" w:eastAsia="黑体"/>
          <w:sz w:val="32"/>
          <w:szCs w:val="32"/>
        </w:rPr>
        <w:t>危险废物管理</w:t>
      </w:r>
    </w:p>
    <w:p>
      <w:pPr>
        <w:spacing w:line="600" w:lineRule="exact"/>
        <w:ind w:firstLine="560" w:firstLineChars="200"/>
        <w:rPr>
          <w:rFonts w:hint="eastAsia" w:ascii="仿宋_GB2312" w:eastAsia="仿宋_GB2312"/>
          <w:color w:val="FF0000"/>
          <w:sz w:val="32"/>
          <w:szCs w:val="32"/>
        </w:rPr>
      </w:pPr>
      <w:r>
        <w:rPr>
          <w:rFonts w:hint="eastAsia" w:eastAsia="仿宋_GB2312"/>
          <w:sz w:val="28"/>
          <w:szCs w:val="28"/>
        </w:rPr>
        <w:t>全省共核查危险废物产生单位682家、经营单位33家，产废单位达标率为95%，经营单位达标率为97.3%。联合省交通运输厅、省商务厅，对机动车拆解和维修行业危险废物规范管理提出了要求。会同省卫生计生委，部署了医疗废物专项检查。联合省经信委、发改委、商务厅、公安厅、工商局对全省199家再生利用企业进行了清理整顿或取缔关停。</w:t>
      </w:r>
    </w:p>
    <w:p>
      <w:pPr>
        <w:spacing w:line="600" w:lineRule="exact"/>
        <w:ind w:firstLine="640" w:firstLineChars="200"/>
        <w:rPr>
          <w:rFonts w:hint="eastAsia" w:ascii="仿宋_GB2312" w:eastAsia="仿宋_GB2312"/>
          <w:color w:val="FF0000"/>
          <w:sz w:val="32"/>
          <w:szCs w:val="32"/>
        </w:rPr>
      </w:pPr>
    </w:p>
    <w:p>
      <w:pPr>
        <w:pStyle w:val="4"/>
        <w:spacing w:beforeLines="50" w:afterLines="50" w:line="360" w:lineRule="auto"/>
        <w:rPr>
          <w:rFonts w:ascii="黑体" w:eastAsia="黑体"/>
          <w:sz w:val="32"/>
          <w:szCs w:val="32"/>
        </w:rPr>
      </w:pPr>
      <w:r>
        <w:rPr>
          <w:rFonts w:hint="eastAsia" w:ascii="黑体" w:eastAsia="黑体"/>
          <w:sz w:val="32"/>
          <w:szCs w:val="32"/>
        </w:rPr>
        <w:t>辐射污染防治</w:t>
      </w:r>
    </w:p>
    <w:p>
      <w:pPr>
        <w:spacing w:line="600" w:lineRule="exact"/>
        <w:ind w:firstLine="560" w:firstLineChars="200"/>
        <w:rPr>
          <w:rFonts w:hint="eastAsia" w:eastAsia="仿宋_GB2312"/>
          <w:sz w:val="28"/>
          <w:szCs w:val="28"/>
        </w:rPr>
      </w:pPr>
      <w:r>
        <w:rPr>
          <w:rFonts w:hint="eastAsia" w:eastAsia="仿宋_GB2312"/>
          <w:sz w:val="28"/>
          <w:szCs w:val="28"/>
        </w:rPr>
        <w:t>省环保厅在全省范围开展放射源安全检查专项行动，共检查单位470余家，发现安全隐患16起，下达责令改正违法行为决定书12份，依法对4家企业进行了行政处罚；</w:t>
      </w:r>
      <w:r>
        <w:rPr>
          <w:rFonts w:hint="eastAsia" w:eastAsia="仿宋_GB2312"/>
          <w:sz w:val="28"/>
          <w:szCs w:val="28"/>
          <w:lang w:eastAsia="zh-CN"/>
        </w:rPr>
        <w:t>针对</w:t>
      </w:r>
      <w:r>
        <w:rPr>
          <w:rFonts w:hint="eastAsia" w:eastAsia="仿宋_GB2312"/>
          <w:sz w:val="28"/>
          <w:szCs w:val="28"/>
        </w:rPr>
        <w:t>太原、运城、长治、临汾4市所属7家单位存在的长期闲置Ⅰ、Ⅱ类废旧放射源未送贮的重大安全隐患，省环保厅通过给各市人民政府发函督办完成送贮。全年安全收贮了484枚废旧放射源，消除了隐患，保证了辐射环境的安全。对全省辐射工作人员、企业操作人员进行了培训，宣传了核安全文化，促进了全省辐射工作人员核安全意识的提高。从实战出发，12月23日组织了“平安太原—辐射事故应急演习”，检验了我省应急处置辐射环境突发事故的专业能力和整体实力，锻炼了队伍，辐射事故应急处置能力进一步提升。</w:t>
      </w:r>
    </w:p>
    <w:p>
      <w:pPr>
        <w:spacing w:line="600" w:lineRule="exact"/>
        <w:ind w:firstLine="560" w:firstLineChars="200"/>
        <w:rPr>
          <w:rFonts w:hint="eastAsia" w:eastAsia="仿宋_GB2312"/>
          <w:sz w:val="28"/>
          <w:szCs w:val="28"/>
        </w:rPr>
      </w:pPr>
    </w:p>
    <w:p>
      <w:pPr>
        <w:pStyle w:val="4"/>
        <w:spacing w:beforeLines="50" w:afterLines="50" w:line="360" w:lineRule="auto"/>
        <w:rPr>
          <w:rFonts w:ascii="黑体" w:eastAsia="黑体"/>
          <w:sz w:val="32"/>
          <w:szCs w:val="32"/>
        </w:rPr>
      </w:pPr>
      <w:r>
        <w:rPr>
          <w:rFonts w:hint="eastAsia" w:ascii="黑体" w:eastAsia="黑体"/>
          <w:sz w:val="32"/>
          <w:szCs w:val="32"/>
        </w:rPr>
        <w:t>机动车污染防治</w:t>
      </w:r>
    </w:p>
    <w:p>
      <w:pPr>
        <w:spacing w:line="600" w:lineRule="exact"/>
        <w:ind w:firstLine="560" w:firstLineChars="200"/>
        <w:rPr>
          <w:rFonts w:hint="eastAsia" w:eastAsia="仿宋_GB2312"/>
          <w:sz w:val="28"/>
          <w:szCs w:val="28"/>
        </w:rPr>
      </w:pPr>
      <w:r>
        <w:rPr>
          <w:rFonts w:hint="eastAsia" w:eastAsia="仿宋_GB2312"/>
          <w:sz w:val="28"/>
          <w:szCs w:val="28"/>
        </w:rPr>
        <w:t>执行调度通报机制，加强督查督办，实施集中约谈，督促未完成2016年黄标车淘汰任务的市加大淘汰力度，督促各市加大老旧车淘汰力度。截至2017年底，全省淘汰老旧车13362辆，剩余黄标车1368辆，完成国家下达的“基本淘汰黄标车”的任务。</w:t>
      </w:r>
    </w:p>
    <w:p>
      <w:pPr>
        <w:spacing w:line="600" w:lineRule="exact"/>
        <w:ind w:firstLine="560" w:firstLineChars="200"/>
        <w:rPr>
          <w:rFonts w:hint="eastAsia" w:eastAsia="仿宋_GB2312"/>
          <w:sz w:val="28"/>
          <w:szCs w:val="28"/>
        </w:rPr>
      </w:pPr>
      <w:r>
        <w:rPr>
          <w:rFonts w:hint="eastAsia" w:eastAsia="仿宋_GB2312"/>
          <w:sz w:val="28"/>
          <w:szCs w:val="28"/>
        </w:rPr>
        <w:t>督促各市按照环保部联网规范要求进一步完善机动车排污监控平台，运用平台开展有效监管，提升监管效率。截至2017年底，全省178家机动车排放检验机构全部实现联网运行。</w:t>
      </w:r>
    </w:p>
    <w:p>
      <w:pPr>
        <w:spacing w:line="600" w:lineRule="exact"/>
        <w:ind w:firstLine="560" w:firstLineChars="200"/>
        <w:rPr>
          <w:rFonts w:hint="eastAsia" w:eastAsia="仿宋_GB2312"/>
          <w:sz w:val="28"/>
          <w:szCs w:val="28"/>
        </w:rPr>
      </w:pPr>
      <w:r>
        <w:rPr>
          <w:rFonts w:hint="eastAsia" w:eastAsia="仿宋_GB2312"/>
          <w:sz w:val="28"/>
          <w:szCs w:val="28"/>
        </w:rPr>
        <w:t>督促各市加大日常检查力度，加强对机动车排放检验机构的监管，规范机动车检验机构检验程序；督促各市积极处理举报信息，严肃查处违法违规检测行为；组织开展了全省2017年机动车排放检验机构监督检查。</w:t>
      </w:r>
    </w:p>
    <w:p>
      <w:pPr>
        <w:spacing w:line="600" w:lineRule="exact"/>
        <w:ind w:firstLine="560" w:firstLineChars="200"/>
        <w:rPr>
          <w:rFonts w:hint="eastAsia" w:eastAsia="仿宋_GB2312"/>
          <w:sz w:val="28"/>
          <w:szCs w:val="28"/>
        </w:rPr>
      </w:pPr>
      <w:r>
        <w:rPr>
          <w:rFonts w:hint="eastAsia" w:eastAsia="仿宋_GB2312"/>
          <w:sz w:val="28"/>
          <w:szCs w:val="28"/>
        </w:rPr>
        <w:t>积极推进4个京津冀大气污染传输通道城市完成环境保护部下达的机动车遥测网络建设任务，提高执法能力。</w:t>
      </w:r>
    </w:p>
    <w:p>
      <w:pPr>
        <w:pStyle w:val="4"/>
        <w:spacing w:beforeLines="50" w:afterLines="50" w:line="360" w:lineRule="auto"/>
        <w:rPr>
          <w:rFonts w:ascii="黑体" w:eastAsia="黑体"/>
          <w:sz w:val="32"/>
          <w:szCs w:val="32"/>
        </w:rPr>
      </w:pPr>
      <w:r>
        <w:rPr>
          <w:rFonts w:hint="eastAsia" w:ascii="黑体" w:eastAsia="黑体"/>
          <w:sz w:val="32"/>
          <w:szCs w:val="32"/>
        </w:rPr>
        <w:t>自然生态环境保护</w:t>
      </w:r>
    </w:p>
    <w:p>
      <w:pPr>
        <w:spacing w:line="600" w:lineRule="exact"/>
        <w:ind w:firstLine="560" w:firstLineChars="200"/>
        <w:rPr>
          <w:rFonts w:hint="eastAsia" w:eastAsia="仿宋_GB2312"/>
          <w:sz w:val="28"/>
          <w:szCs w:val="28"/>
        </w:rPr>
      </w:pPr>
      <w:r>
        <w:rPr>
          <w:rFonts w:hint="eastAsia" w:eastAsia="仿宋_GB2312"/>
          <w:sz w:val="28"/>
          <w:szCs w:val="28"/>
        </w:rPr>
        <w:t>加快划定生态保护红线。按照中办、国办《关于划定并严守生态保护红线的若干意见》，省政府办公厅印发了《山西省划定并严守生态保护红线工作方案》，省政府成立了山西省生态保护红线工作领导组，召开了红线工作领导组第一次会议，安排部署了生态保护红线划定工作。组织技术单位完善了生态系统服务功能重要性评估和生态环境敏感性评估，优化了生态保护红线分布格局，通过地理信息技术和实地核查初步将红线落在地块上。组织召开了领导组办公室会议，与相关部门进行专题对接协调，并与周边省份进行初步对接，形成了《山西省生态保护红线划定方案》（征求意见稿）。</w:t>
      </w:r>
    </w:p>
    <w:p>
      <w:pPr>
        <w:spacing w:line="600" w:lineRule="exact"/>
        <w:ind w:firstLine="560" w:firstLineChars="200"/>
        <w:rPr>
          <w:rFonts w:hint="eastAsia" w:eastAsia="仿宋_GB2312"/>
          <w:sz w:val="28"/>
          <w:szCs w:val="28"/>
        </w:rPr>
      </w:pPr>
      <w:r>
        <w:rPr>
          <w:rFonts w:hint="eastAsia" w:eastAsia="仿宋_GB2312"/>
          <w:sz w:val="28"/>
          <w:szCs w:val="28"/>
        </w:rPr>
        <w:t>加强自然保护区监管。省政府办公厅印发了《山西省省级自然保护区调整管理规定》，自然保护区调整更加严格规范。对自然保护区卫星遥感发现的疑似人类活动进行了现场核查。省环保厅会同省林业厅、省农业厅组织开展了“绿盾2017”自然保护区监督检查专项行动，加大督查力度，严厉打击涉及自然保护区的各类违法违规行为。</w:t>
      </w:r>
    </w:p>
    <w:p>
      <w:pPr>
        <w:pStyle w:val="4"/>
        <w:spacing w:beforeLines="50" w:afterLines="50" w:line="360" w:lineRule="auto"/>
        <w:rPr>
          <w:rFonts w:ascii="黑体" w:eastAsia="黑体"/>
          <w:sz w:val="32"/>
          <w:szCs w:val="32"/>
        </w:rPr>
      </w:pPr>
      <w:r>
        <w:rPr>
          <w:rFonts w:hint="eastAsia" w:ascii="黑体" w:eastAsia="黑体"/>
          <w:sz w:val="32"/>
          <w:szCs w:val="32"/>
        </w:rPr>
        <w:t>环境监察</w:t>
      </w:r>
    </w:p>
    <w:p>
      <w:pPr>
        <w:spacing w:line="600" w:lineRule="exact"/>
        <w:ind w:firstLine="560" w:firstLineChars="200"/>
        <w:rPr>
          <w:rFonts w:hint="eastAsia" w:eastAsia="仿宋_GB2312"/>
          <w:sz w:val="28"/>
          <w:szCs w:val="28"/>
        </w:rPr>
      </w:pPr>
      <w:r>
        <w:rPr>
          <w:rFonts w:hint="eastAsia" w:eastAsia="仿宋_GB2312"/>
          <w:sz w:val="28"/>
          <w:szCs w:val="28"/>
        </w:rPr>
        <w:t>一是监督工业污染源全面达标排放工作。我省九大行业共有1431家企业，其中，849家实现了达标排放，对315家达不到排放要求的企业进行了分类处置。二是开展了环境执法大练兵活动。全省下达行政处罚决定3843件、罚款金额达39981万元，查处重大案件1309件，移送司法机关327起，我省3个环境监察机构被评为</w:t>
      </w:r>
      <w:r>
        <w:rPr>
          <w:rFonts w:hint="eastAsia" w:eastAsia="仿宋_GB2312"/>
          <w:sz w:val="28"/>
          <w:szCs w:val="28"/>
          <w:lang w:eastAsia="zh-CN"/>
        </w:rPr>
        <w:t>全国</w:t>
      </w:r>
      <w:r>
        <w:rPr>
          <w:rFonts w:hint="eastAsia" w:eastAsia="仿宋_GB2312"/>
          <w:sz w:val="28"/>
          <w:szCs w:val="28"/>
        </w:rPr>
        <w:t>先进集体，2名环境监察人员被评为</w:t>
      </w:r>
      <w:r>
        <w:rPr>
          <w:rFonts w:hint="eastAsia" w:eastAsia="仿宋_GB2312"/>
          <w:sz w:val="28"/>
          <w:szCs w:val="28"/>
          <w:lang w:eastAsia="zh-CN"/>
        </w:rPr>
        <w:t>全国</w:t>
      </w:r>
      <w:r>
        <w:rPr>
          <w:rFonts w:hint="eastAsia" w:eastAsia="仿宋_GB2312"/>
          <w:sz w:val="28"/>
          <w:szCs w:val="28"/>
        </w:rPr>
        <w:t>先进个人。三是开展了全省铁腕治污行动。排查发现存在环境违法问题的企业9900余家，下达罚款金额1.3亿余元，取缔土小企业1700余家，查封扣押400余件，限产停产550余件，实施行政拘留130余件，对125名有关责任人进行了责任追究。四是开展了第一季度空气质量专项督查，累计检查813个单位，发现各类环境问题623个。五是开展了纳污坑塘集中整治活动，排查各类坑塘137处，完成整治117处，正在整治20处。六是开展了砖瓦行业专项执法检查，共取缔、关停不符合产业政策的企业90家，责令255家停产整治，限期（责令）69家进行整改，对22家采取断电措施，对50家实施行政处罚。七是严厉打击环境污染违法犯罪行为。2017年，全省共向公安机关移送环境违法案件430件，其中，行政拘留案件401件，涉及刑事案件28件。</w:t>
      </w:r>
    </w:p>
    <w:p>
      <w:pPr>
        <w:spacing w:line="600" w:lineRule="exact"/>
        <w:ind w:firstLine="560" w:firstLineChars="200"/>
        <w:rPr>
          <w:rFonts w:hint="eastAsia" w:eastAsia="仿宋_GB2312"/>
          <w:sz w:val="28"/>
          <w:szCs w:val="28"/>
        </w:rPr>
      </w:pPr>
      <w:r>
        <w:rPr>
          <w:rFonts w:hint="eastAsia" w:eastAsia="仿宋_GB2312"/>
          <w:sz w:val="28"/>
          <w:szCs w:val="28"/>
        </w:rPr>
        <w:t>2017年全省共征收排污费11.56亿元，在全国排污申报核定与排污费征收汇审考核中我省获“一等奖”。</w:t>
      </w:r>
    </w:p>
    <w:p>
      <w:pPr>
        <w:pStyle w:val="4"/>
        <w:spacing w:beforeLines="50" w:afterLines="50" w:line="360" w:lineRule="auto"/>
        <w:rPr>
          <w:rFonts w:ascii="黑体" w:eastAsia="黑体"/>
          <w:sz w:val="32"/>
          <w:szCs w:val="32"/>
        </w:rPr>
      </w:pPr>
      <w:r>
        <w:rPr>
          <w:rFonts w:hint="eastAsia" w:ascii="黑体" w:eastAsia="黑体"/>
          <w:sz w:val="32"/>
          <w:szCs w:val="32"/>
        </w:rPr>
        <w:t>环保督察</w:t>
      </w:r>
    </w:p>
    <w:p>
      <w:pPr>
        <w:spacing w:line="600" w:lineRule="exact"/>
        <w:ind w:firstLine="560" w:firstLineChars="200"/>
        <w:rPr>
          <w:rFonts w:hint="eastAsia" w:eastAsia="仿宋_GB2312"/>
          <w:sz w:val="28"/>
          <w:szCs w:val="28"/>
        </w:rPr>
      </w:pPr>
      <w:r>
        <w:rPr>
          <w:rFonts w:hint="eastAsia" w:eastAsia="仿宋_GB2312"/>
          <w:sz w:val="28"/>
          <w:szCs w:val="28"/>
        </w:rPr>
        <w:t>1、全力以赴配合做好中央环保督察工作</w:t>
      </w:r>
    </w:p>
    <w:p>
      <w:pPr>
        <w:spacing w:line="600" w:lineRule="exact"/>
        <w:ind w:firstLine="560" w:firstLineChars="200"/>
        <w:rPr>
          <w:rFonts w:hint="eastAsia" w:eastAsia="仿宋_GB2312"/>
          <w:sz w:val="28"/>
          <w:szCs w:val="28"/>
        </w:rPr>
      </w:pPr>
      <w:r>
        <w:rPr>
          <w:rFonts w:hint="eastAsia" w:eastAsia="仿宋_GB2312"/>
          <w:sz w:val="28"/>
          <w:szCs w:val="28"/>
        </w:rPr>
        <w:t>中央第二环境保护督察组于2017年4月28日至5月28日进驻山西省开展环境保护督察工作。我省把配合好环保督察作为一项重要政治任务，求真务实，压实责任，查找问题，认真整改，全力做好环保督察的配合保障工作。中央环保督察组向我省共交办群众反映问题33批3582件，我省全部办结并向社会公示。其中，共责令整改企业2484家，立案处罚企业855家，实施行政处罚7172.7万元，立案侦查22件，实施行政拘留58人，实施刑事拘留3人，约谈1589人，问责1071人。边督边改取得扎实成效。</w:t>
      </w:r>
    </w:p>
    <w:p>
      <w:pPr>
        <w:spacing w:line="600" w:lineRule="exact"/>
        <w:ind w:firstLine="560" w:firstLineChars="200"/>
        <w:rPr>
          <w:rFonts w:hint="eastAsia" w:eastAsia="仿宋_GB2312"/>
          <w:sz w:val="28"/>
          <w:szCs w:val="28"/>
        </w:rPr>
      </w:pPr>
      <w:r>
        <w:rPr>
          <w:rFonts w:hint="eastAsia" w:eastAsia="仿宋_GB2312"/>
          <w:sz w:val="28"/>
          <w:szCs w:val="28"/>
        </w:rPr>
        <w:t>省委、省政府高度重视中央环保督察整改工作，对中央环保督察组反馈意见诚恳接受，照单全收，并坚持举一反三</w:t>
      </w:r>
      <w:r>
        <w:rPr>
          <w:rFonts w:hint="eastAsia" w:eastAsia="仿宋_GB2312"/>
          <w:sz w:val="28"/>
          <w:szCs w:val="28"/>
          <w:lang w:eastAsia="zh-CN"/>
        </w:rPr>
        <w:t>、</w:t>
      </w:r>
      <w:r>
        <w:rPr>
          <w:rFonts w:hint="eastAsia" w:eastAsia="仿宋_GB2312"/>
          <w:sz w:val="28"/>
          <w:szCs w:val="28"/>
        </w:rPr>
        <w:t>统筹推进。我省贯彻落实中央环保督察组反馈意见整改方案于2017年8月30日上报国务院并抄送国家环境保护督察办公室，12月18日，整改方案全文向社会公开接受人民群众监督。整改方案将中央环保督察组反馈我省四个方面突出问题分解为60项具体整改任务474项整改措施，并逐一明确了整改目标、整改措施、责任单位、责任人和整改时限，责任单位涉及11个市、13个省直部门和9个企业。对整改任务实行台账式、清单式管理，建立周调度、月通报制度，要求逐一整改销号清零。</w:t>
      </w:r>
    </w:p>
    <w:p>
      <w:pPr>
        <w:spacing w:line="600" w:lineRule="exact"/>
        <w:ind w:firstLine="560" w:firstLineChars="200"/>
        <w:rPr>
          <w:rFonts w:hint="eastAsia" w:eastAsia="仿宋_GB2312"/>
          <w:sz w:val="28"/>
          <w:szCs w:val="28"/>
        </w:rPr>
      </w:pPr>
      <w:r>
        <w:rPr>
          <w:rFonts w:hint="eastAsia" w:eastAsia="仿宋_GB2312"/>
          <w:sz w:val="28"/>
          <w:szCs w:val="28"/>
        </w:rPr>
        <w:t>2、扎实开展省级环境保护督察</w:t>
      </w:r>
    </w:p>
    <w:p>
      <w:pPr>
        <w:spacing w:line="600" w:lineRule="exact"/>
        <w:ind w:firstLine="560" w:firstLineChars="200"/>
        <w:rPr>
          <w:rFonts w:hint="eastAsia" w:eastAsia="仿宋_GB2312"/>
          <w:sz w:val="28"/>
          <w:szCs w:val="28"/>
        </w:rPr>
      </w:pPr>
      <w:r>
        <w:rPr>
          <w:rFonts w:hint="eastAsia" w:eastAsia="仿宋_GB2312"/>
          <w:sz w:val="28"/>
          <w:szCs w:val="28"/>
        </w:rPr>
        <w:t>按照省委、省政府安排要求，自2016年7月以来，我省共分4批实现了对全省11个市的省级督察全覆盖。进驻督察期间，督察组以督察实施方案和进驻规程为基本遵循，对重点举报案件、锅炉提标改造、散乱污企业以及秋冬季大气治理情况、清洁能源供暖情况进行全面督察。每批现场进驻督察持续一个月，督察主要任务均全部完成。四批督察累计受理信访举报5718件，已全部办结。通过督查，集中处理了4507件违法违规案件，罚款金额4856万元，累计批评问责1163人。</w:t>
      </w:r>
    </w:p>
    <w:p>
      <w:pPr>
        <w:spacing w:line="600" w:lineRule="exact"/>
        <w:ind w:firstLine="560" w:firstLineChars="200"/>
        <w:rPr>
          <w:rFonts w:hint="eastAsia" w:eastAsia="仿宋_GB2312"/>
          <w:sz w:val="28"/>
          <w:szCs w:val="28"/>
        </w:rPr>
      </w:pPr>
      <w:r>
        <w:rPr>
          <w:rFonts w:hint="eastAsia" w:eastAsia="仿宋_GB2312"/>
          <w:sz w:val="28"/>
          <w:szCs w:val="28"/>
        </w:rPr>
        <w:t>我省将网格化环境监管情况作为环境保护督察的重要内容，强化网格规范化运行和责任追究。目前，我省环境监管网格化工作涉及的11个地级市、119个县级行政单位，均已按要求出台了环境监管网格化实施方案，完成率达100%。</w:t>
      </w:r>
    </w:p>
    <w:p>
      <w:pPr>
        <w:spacing w:line="560" w:lineRule="exact"/>
        <w:ind w:firstLine="640"/>
        <w:rPr>
          <w:rFonts w:ascii="Times New Roman" w:hAnsi="Times New Roman" w:eastAsia="仿宋_GB2312" w:cs="Times New Roman"/>
          <w:sz w:val="32"/>
          <w:szCs w:val="32"/>
        </w:rPr>
      </w:pPr>
    </w:p>
    <w:p>
      <w:pPr>
        <w:pStyle w:val="4"/>
        <w:spacing w:beforeLines="50" w:afterLines="50" w:line="360" w:lineRule="auto"/>
        <w:rPr>
          <w:rFonts w:ascii="黑体" w:eastAsia="黑体"/>
          <w:sz w:val="32"/>
          <w:szCs w:val="32"/>
        </w:rPr>
      </w:pPr>
      <w:r>
        <w:rPr>
          <w:rFonts w:hint="eastAsia" w:ascii="黑体" w:eastAsia="黑体"/>
          <w:sz w:val="32"/>
          <w:szCs w:val="32"/>
        </w:rPr>
        <w:t>污染源在线监控</w:t>
      </w:r>
    </w:p>
    <w:p>
      <w:pPr>
        <w:spacing w:line="600" w:lineRule="exact"/>
        <w:ind w:firstLine="560" w:firstLineChars="200"/>
        <w:rPr>
          <w:rFonts w:hint="eastAsia" w:eastAsia="仿宋_GB2312"/>
          <w:sz w:val="28"/>
          <w:szCs w:val="28"/>
        </w:rPr>
      </w:pPr>
      <w:r>
        <w:rPr>
          <w:rFonts w:hint="eastAsia" w:eastAsia="仿宋_GB2312"/>
          <w:sz w:val="28"/>
          <w:szCs w:val="28"/>
        </w:rPr>
        <w:t>进一步扩大自动监控监管范围，重点推进高架源、垃圾焚烧厂、污水处理厂等重点行业自动监控全覆盖，所有重点污染源均与市级监控平台联网。其中，国控重点排污企业自动监控数据经市级监控平台同步实时上传至省级监控平台。按照政府信息公开的有关规定，将国控企业自动监控日均值数据及行政处罚决定向社会公开。国控企业自动监控数据在污染减排核查、排污收费核定、环保电价与超低排放电价核准、超标行政处罚等环境管理中发挥重要作用。在打击排污企业超标排污违法行为中，坚持“零容忍”、严处罚，仅省级监控中心就查处案件60余起，处罚金额3500余万元。</w:t>
      </w:r>
    </w:p>
    <w:p>
      <w:pPr>
        <w:pStyle w:val="4"/>
        <w:spacing w:beforeLines="50" w:afterLines="50" w:line="360" w:lineRule="auto"/>
        <w:rPr>
          <w:rFonts w:ascii="黑体" w:eastAsia="黑体"/>
          <w:sz w:val="32"/>
          <w:szCs w:val="32"/>
        </w:rPr>
      </w:pPr>
      <w:r>
        <w:rPr>
          <w:rFonts w:hint="eastAsia" w:ascii="黑体" w:eastAsia="黑体"/>
          <w:sz w:val="32"/>
          <w:szCs w:val="32"/>
        </w:rPr>
        <w:t>环境监测</w:t>
      </w:r>
    </w:p>
    <w:p>
      <w:pPr>
        <w:spacing w:line="600" w:lineRule="exact"/>
        <w:ind w:firstLine="560" w:firstLineChars="200"/>
        <w:rPr>
          <w:rFonts w:hint="eastAsia" w:eastAsia="仿宋_GB2312"/>
          <w:sz w:val="28"/>
          <w:szCs w:val="28"/>
        </w:rPr>
      </w:pPr>
      <w:r>
        <w:rPr>
          <w:rFonts w:hint="eastAsia" w:eastAsia="仿宋_GB2312"/>
          <w:sz w:val="28"/>
          <w:szCs w:val="28"/>
        </w:rPr>
        <w:t>认真贯彻执行中共中央办公厅和国务院办公厅《关于深化环境监测改革提高环境监测数据质量的意见》，扎实推进各项环境监测业务工作。组织开展了全省地表水、地下水、集中式饮用水源地、噪声、酸雨、土壤、农村、生态等各项例行监测工作，切实加强对重点污染源的监督性监测，圆满完成地表水跨界考核专项监测。全面加强空气预报预警人才队伍及能力建设，目前已具备预报未来3天环境质量情况及</w:t>
      </w:r>
      <w:r>
        <w:rPr>
          <w:rFonts w:hint="eastAsia" w:eastAsia="仿宋_GB2312"/>
          <w:sz w:val="28"/>
          <w:szCs w:val="28"/>
          <w:lang w:eastAsia="zh-CN"/>
        </w:rPr>
        <w:t>进行</w:t>
      </w:r>
      <w:r>
        <w:rPr>
          <w:rFonts w:hint="eastAsia" w:eastAsia="仿宋_GB2312"/>
          <w:sz w:val="28"/>
          <w:szCs w:val="28"/>
        </w:rPr>
        <w:t>7天潜势预报的能力。同时，顺利完成2017年“一带一路”等国家重大活动山西省空气质量监测预报预警保障工作。</w:t>
      </w:r>
    </w:p>
    <w:p>
      <w:pPr>
        <w:spacing w:line="600" w:lineRule="exact"/>
        <w:ind w:firstLine="560" w:firstLineChars="200"/>
        <w:rPr>
          <w:rFonts w:hint="eastAsia" w:eastAsia="仿宋_GB2312"/>
          <w:sz w:val="28"/>
          <w:szCs w:val="28"/>
        </w:rPr>
      </w:pPr>
      <w:r>
        <w:rPr>
          <w:rFonts w:hint="eastAsia" w:eastAsia="仿宋_GB2312"/>
          <w:sz w:val="28"/>
          <w:szCs w:val="28"/>
        </w:rPr>
        <w:t>组织完成了全省204个县级环境空气自动监测站点监测事权上收工作,初步建成全省统一运维、统一考核、统一监测的空气监测网络，从机制上保证了监测数据质量。按照</w:t>
      </w:r>
      <w:r>
        <w:rPr>
          <w:rFonts w:hint="eastAsia" w:eastAsia="仿宋_GB2312"/>
          <w:sz w:val="28"/>
          <w:szCs w:val="28"/>
          <w:lang w:eastAsia="zh-CN"/>
        </w:rPr>
        <w:t>国家</w:t>
      </w:r>
      <w:r>
        <w:rPr>
          <w:rFonts w:hint="eastAsia" w:eastAsia="仿宋_GB2312"/>
          <w:sz w:val="28"/>
          <w:szCs w:val="28"/>
        </w:rPr>
        <w:t>要求，积极推进我省地表水环境质量监测事权上收，在对全省所有58个地表水国考断面进行前期踏勘的基础上，编制了全省地表水国考断面水质自动站建设选址分析论证报告，为水质自动站建设提供了科学依据。</w:t>
      </w:r>
    </w:p>
    <w:p>
      <w:pPr>
        <w:spacing w:line="600" w:lineRule="exact"/>
        <w:ind w:firstLine="560" w:firstLineChars="200"/>
        <w:rPr>
          <w:rFonts w:hint="eastAsia" w:eastAsia="仿宋_GB2312"/>
          <w:sz w:val="28"/>
          <w:szCs w:val="28"/>
        </w:rPr>
      </w:pPr>
    </w:p>
    <w:p>
      <w:pPr>
        <w:pStyle w:val="4"/>
        <w:spacing w:beforeLines="50" w:afterLines="50" w:line="360" w:lineRule="auto"/>
        <w:rPr>
          <w:rFonts w:ascii="黑体" w:eastAsia="黑体"/>
          <w:sz w:val="32"/>
          <w:szCs w:val="32"/>
        </w:rPr>
      </w:pPr>
      <w:r>
        <w:rPr>
          <w:rFonts w:hint="eastAsia" w:ascii="黑体" w:eastAsia="黑体"/>
          <w:sz w:val="32"/>
          <w:szCs w:val="32"/>
        </w:rPr>
        <w:t>环境科技</w:t>
      </w:r>
      <w:r>
        <w:rPr>
          <w:rFonts w:hint="eastAsia" w:ascii="黑体" w:eastAsia="黑体"/>
          <w:sz w:val="32"/>
          <w:szCs w:val="32"/>
          <w:lang w:eastAsia="zh-CN"/>
        </w:rPr>
        <w:t>、</w:t>
      </w:r>
      <w:r>
        <w:rPr>
          <w:rFonts w:hint="eastAsia" w:ascii="黑体" w:eastAsia="黑体"/>
          <w:sz w:val="32"/>
          <w:szCs w:val="32"/>
        </w:rPr>
        <w:t>标准</w:t>
      </w:r>
      <w:r>
        <w:rPr>
          <w:rFonts w:hint="eastAsia" w:ascii="黑体" w:eastAsia="黑体"/>
          <w:sz w:val="32"/>
          <w:szCs w:val="32"/>
          <w:lang w:eastAsia="zh-CN"/>
        </w:rPr>
        <w:t>和产业</w:t>
      </w:r>
    </w:p>
    <w:p>
      <w:pPr>
        <w:spacing w:line="6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根据省科技厅的要求，组织年度申报山西省科研计划项目十余项；组织开展年度环境保护科技奖励项目和山西省科学技术奖励项目的推荐申报；组织开展适合山西实际的环保科研技术研究；组织省环境规划院对国家在我省太原、阳泉、长治、运城四个通道城市开展的“2+26”城市大气污染成因及治理科技攻关项目进行跟踪调研。</w:t>
      </w:r>
    </w:p>
    <w:p>
      <w:pPr>
        <w:spacing w:line="6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根据省质监局的有关要求，组织开展了年度地方标准计划项目的申报，报送的12项地方环保标准的立项申请全部获得批准开展研究。</w:t>
      </w:r>
    </w:p>
    <w:p>
      <w:pPr>
        <w:spacing w:line="6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配合省发改委对我省实行环境污染第三方治理的有关情况进行了摸底调查，形成调研报告；按照环保部的要求，开展并完成了2016年度我省环境服务业财务统计工作。</w:t>
      </w:r>
    </w:p>
    <w:p>
      <w:pPr>
        <w:pStyle w:val="4"/>
        <w:spacing w:beforeLines="50" w:afterLines="50" w:line="360" w:lineRule="auto"/>
        <w:rPr>
          <w:rFonts w:ascii="黑体" w:eastAsia="黑体"/>
          <w:sz w:val="32"/>
          <w:szCs w:val="32"/>
        </w:rPr>
      </w:pPr>
      <w:r>
        <w:rPr>
          <w:rFonts w:hint="eastAsia" w:ascii="黑体" w:eastAsia="黑体"/>
          <w:sz w:val="32"/>
          <w:szCs w:val="32"/>
        </w:rPr>
        <w:t>环境信息</w:t>
      </w:r>
    </w:p>
    <w:p>
      <w:pPr>
        <w:spacing w:line="600" w:lineRule="exact"/>
        <w:ind w:firstLine="560" w:firstLineChars="200"/>
        <w:rPr>
          <w:rFonts w:hint="eastAsia" w:eastAsia="仿宋_GB2312"/>
          <w:sz w:val="28"/>
          <w:szCs w:val="28"/>
        </w:rPr>
      </w:pPr>
      <w:r>
        <w:rPr>
          <w:rFonts w:hint="eastAsia" w:eastAsia="仿宋_GB2312"/>
          <w:sz w:val="28"/>
          <w:szCs w:val="28"/>
        </w:rPr>
        <w:t>出台了《山西省环境保护厅信息化建设项目管理办法（试行）》，编制了《山西省环境保护厅政府网站信息安全应急预案（修订）》和《山西省环境保护厅网络与信息安全事件应急预案》。</w:t>
      </w:r>
    </w:p>
    <w:p>
      <w:pPr>
        <w:spacing w:line="600" w:lineRule="exact"/>
        <w:ind w:firstLine="560" w:firstLineChars="200"/>
        <w:rPr>
          <w:rFonts w:hint="eastAsia" w:eastAsia="仿宋_GB2312"/>
          <w:sz w:val="28"/>
          <w:szCs w:val="28"/>
        </w:rPr>
      </w:pPr>
      <w:r>
        <w:rPr>
          <w:rFonts w:hint="eastAsia" w:eastAsia="仿宋_GB2312"/>
          <w:sz w:val="28"/>
          <w:szCs w:val="28"/>
        </w:rPr>
        <w:t>积极推进《山西省生态环境大数据（一期）建设项目》建设，组织编制了《山西省生态环境大数据（一期）建设项目可行性研究报告》；开展了山西省生态环境大数据顶层设计工作，编制了《山西省生态环境大数据建设总体规划》（征求意见稿）。</w:t>
      </w:r>
    </w:p>
    <w:p>
      <w:pPr>
        <w:spacing w:line="600" w:lineRule="exact"/>
        <w:ind w:firstLine="560" w:firstLineChars="200"/>
        <w:rPr>
          <w:rFonts w:hint="eastAsia" w:eastAsia="仿宋_GB2312"/>
          <w:sz w:val="28"/>
          <w:szCs w:val="28"/>
        </w:rPr>
      </w:pPr>
      <w:r>
        <w:rPr>
          <w:rFonts w:hint="eastAsia" w:eastAsia="仿宋_GB2312"/>
          <w:sz w:val="28"/>
          <w:szCs w:val="28"/>
        </w:rPr>
        <w:t>实施了《山西省环保厅门户网站改版及安全防护改造》项目，进一步加大了门户网站信息公开力度，全年网站信息更新量为4341条。继续开展了对各市环保局政府网站的绩效评估工作。</w:t>
      </w:r>
    </w:p>
    <w:p>
      <w:pPr>
        <w:spacing w:line="600" w:lineRule="exact"/>
        <w:ind w:firstLine="560" w:firstLineChars="200"/>
        <w:rPr>
          <w:rFonts w:hint="eastAsia" w:eastAsia="仿宋_GB2312"/>
          <w:sz w:val="28"/>
          <w:szCs w:val="28"/>
        </w:rPr>
      </w:pPr>
      <w:r>
        <w:rPr>
          <w:rFonts w:hint="eastAsia" w:eastAsia="仿宋_GB2312"/>
          <w:sz w:val="28"/>
          <w:szCs w:val="28"/>
        </w:rPr>
        <w:t>“山西省环保系统电子政务系统”及“山西省环境保护行政许可项目审批与电子监察系统”稳定运行，电子政务系统共流转公文1637件，行政审批系统共受理审批项目236件。研究制定了《山西省环评审批信息联网报送系统升级改造方案》，实现了省、市、县三级环评审批信息联网实时报送。</w:t>
      </w:r>
    </w:p>
    <w:p>
      <w:pPr>
        <w:pStyle w:val="4"/>
        <w:spacing w:beforeLines="50" w:afterLines="50" w:line="360" w:lineRule="auto"/>
        <w:rPr>
          <w:rFonts w:ascii="黑体" w:eastAsia="黑体"/>
          <w:sz w:val="32"/>
          <w:szCs w:val="32"/>
        </w:rPr>
      </w:pPr>
      <w:r>
        <w:rPr>
          <w:rFonts w:hint="eastAsia" w:ascii="黑体" w:eastAsia="黑体"/>
          <w:sz w:val="32"/>
          <w:szCs w:val="32"/>
        </w:rPr>
        <w:t>宣传教育</w:t>
      </w:r>
    </w:p>
    <w:p>
      <w:pPr>
        <w:spacing w:line="600" w:lineRule="exact"/>
        <w:ind w:firstLine="560" w:firstLineChars="200"/>
        <w:rPr>
          <w:rFonts w:hint="eastAsia" w:eastAsia="仿宋_GB2312"/>
          <w:sz w:val="28"/>
          <w:szCs w:val="28"/>
        </w:rPr>
      </w:pPr>
      <w:r>
        <w:rPr>
          <w:rFonts w:hint="eastAsia" w:eastAsia="仿宋_GB2312"/>
          <w:sz w:val="28"/>
          <w:szCs w:val="28"/>
        </w:rPr>
        <w:t>省、市两级环保部门全部开通环保微信、微博，省市两级共举办新闻发布会20多次，开展伴随式采访活动10多次，在各类媒体发表稿件3000条篇，为环保攻坚行动营造了良好舆论氛围。完成配合保障中央环保督察组宣传任务，省、市两级媒体、网站共刊播稿件6589篇条。全力抓好秋冬季大气污染防治宣传工作。积极开展第二次全国污染源普查宣传工作，组织新闻媒体集中宣传解读污染源普查政策。启动全省环保设施和城市污水垃圾处理设施向公众开放工作，确定山西省环境监测中心站、太原城南污水处理厂、太原市同舟能源有限公司等为我省首批向公众开放的单位。以“绿水青山就是金山银山”为主题，举行省城各界纪念“六.五”世界环境日大会。联合山西省作家协会、共青团山西省委举办第三届绿色读书月活动，联合省高级人民法院、山西省环境污染损害司法鉴定中心开展环境公益诉讼和环境污染损害司法鉴定咨询活动。举行山西省首家“环保管家”项目签约仪式，大力宣传推广山西创新治污新模式，为推动山西环保治理市场化鼓与呼。组织了“环保出行，骑乐无穷”骑行环保宣传活动，开展了“垃圾不落地、地矿最美丽”主题宣传活动。</w:t>
      </w:r>
    </w:p>
    <w:p>
      <w:pPr>
        <w:spacing w:line="600" w:lineRule="exact"/>
        <w:ind w:firstLine="560" w:firstLineChars="200"/>
        <w:rPr>
          <w:rFonts w:hint="eastAsia" w:eastAsia="仿宋_GB2312"/>
          <w:sz w:val="28"/>
          <w:szCs w:val="28"/>
        </w:rPr>
      </w:pPr>
    </w:p>
    <w:p>
      <w:pPr>
        <w:rPr>
          <w:rFonts w:ascii="黑体" w:hAnsi="黑体" w:eastAsia="黑体"/>
          <w:sz w:val="36"/>
          <w:szCs w:val="36"/>
        </w:rPr>
      </w:pPr>
      <w:r>
        <w:rPr>
          <w:rFonts w:hint="eastAsia" w:ascii="黑体" w:hAnsi="黑体" w:eastAsia="黑体"/>
          <w:sz w:val="36"/>
          <w:szCs w:val="36"/>
        </w:rPr>
        <w:t>排污权交易</w:t>
      </w:r>
    </w:p>
    <w:p>
      <w:pPr>
        <w:spacing w:line="600" w:lineRule="exact"/>
        <w:ind w:firstLine="560" w:firstLineChars="200"/>
        <w:rPr>
          <w:rFonts w:hint="eastAsia" w:eastAsia="仿宋_GB2312"/>
          <w:sz w:val="28"/>
          <w:szCs w:val="28"/>
        </w:rPr>
      </w:pPr>
      <w:r>
        <w:rPr>
          <w:rFonts w:hint="eastAsia" w:eastAsia="仿宋_GB2312"/>
          <w:sz w:val="28"/>
          <w:szCs w:val="28"/>
        </w:rPr>
        <w:t>积极探索排污权交易研究，《排污权交易政策体系研究》和《山西省排污权自主价格交易研究》两项课题被列为全省重点项目研究课题；推动“山西省排污权价格自主交易平台”开发建设，努力实现由环境资源稀缺程度主导排污权市场交易价格、由市场价格决定环境资源配置的根本目标；编制印发《山西省排污权交易手册》，进一步规范我省排污权交易业务受理工作。</w:t>
      </w:r>
    </w:p>
    <w:p>
      <w:pPr>
        <w:spacing w:line="600" w:lineRule="exact"/>
        <w:ind w:firstLine="560" w:firstLineChars="200"/>
        <w:rPr>
          <w:rFonts w:hint="eastAsia" w:eastAsia="仿宋_GB2312"/>
          <w:sz w:val="28"/>
          <w:szCs w:val="28"/>
        </w:rPr>
      </w:pPr>
      <w:r>
        <w:rPr>
          <w:rFonts w:hint="eastAsia" w:eastAsia="仿宋_GB2312"/>
          <w:sz w:val="28"/>
          <w:szCs w:val="28"/>
        </w:rPr>
        <w:t>2017年共完成省级、市级排污权交易514宗，总成交额7.08亿元，涉及二氧化硫15556吨</w:t>
      </w:r>
      <w:r>
        <w:rPr>
          <w:rFonts w:hint="eastAsia" w:eastAsia="仿宋_GB2312"/>
          <w:sz w:val="28"/>
          <w:szCs w:val="28"/>
          <w:lang w:eastAsia="zh-CN"/>
        </w:rPr>
        <w:t>，</w:t>
      </w:r>
      <w:r>
        <w:rPr>
          <w:rFonts w:hint="eastAsia" w:eastAsia="仿宋_GB2312"/>
          <w:sz w:val="28"/>
          <w:szCs w:val="28"/>
        </w:rPr>
        <w:t>化学需氧量467吨</w:t>
      </w:r>
      <w:r>
        <w:rPr>
          <w:rFonts w:hint="eastAsia" w:eastAsia="仿宋_GB2312"/>
          <w:sz w:val="28"/>
          <w:szCs w:val="28"/>
          <w:lang w:eastAsia="zh-CN"/>
        </w:rPr>
        <w:t>，</w:t>
      </w:r>
      <w:r>
        <w:rPr>
          <w:rFonts w:hint="eastAsia" w:eastAsia="仿宋_GB2312"/>
          <w:sz w:val="28"/>
          <w:szCs w:val="28"/>
        </w:rPr>
        <w:t>氨氮37吨</w:t>
      </w:r>
      <w:r>
        <w:rPr>
          <w:rFonts w:hint="eastAsia" w:eastAsia="仿宋_GB2312"/>
          <w:sz w:val="28"/>
          <w:szCs w:val="28"/>
          <w:lang w:eastAsia="zh-CN"/>
        </w:rPr>
        <w:t>，</w:t>
      </w:r>
      <w:r>
        <w:rPr>
          <w:rFonts w:hint="eastAsia" w:eastAsia="仿宋_GB2312"/>
          <w:sz w:val="28"/>
          <w:szCs w:val="28"/>
        </w:rPr>
        <w:t>氮氧化物19099吨</w:t>
      </w:r>
      <w:r>
        <w:rPr>
          <w:rFonts w:hint="eastAsia" w:eastAsia="仿宋_GB2312"/>
          <w:sz w:val="28"/>
          <w:szCs w:val="28"/>
          <w:lang w:eastAsia="zh-CN"/>
        </w:rPr>
        <w:t>，</w:t>
      </w:r>
      <w:r>
        <w:rPr>
          <w:rFonts w:hint="eastAsia" w:eastAsia="仿宋_GB2312"/>
          <w:sz w:val="28"/>
          <w:szCs w:val="28"/>
        </w:rPr>
        <w:t>烟尘5236吨</w:t>
      </w:r>
      <w:r>
        <w:rPr>
          <w:rFonts w:hint="eastAsia" w:eastAsia="仿宋_GB2312"/>
          <w:sz w:val="28"/>
          <w:szCs w:val="28"/>
          <w:lang w:eastAsia="zh-CN"/>
        </w:rPr>
        <w:t>，</w:t>
      </w:r>
      <w:r>
        <w:rPr>
          <w:rFonts w:hint="eastAsia" w:eastAsia="仿宋_GB2312"/>
          <w:sz w:val="28"/>
          <w:szCs w:val="28"/>
        </w:rPr>
        <w:t>工业粉尘3251吨。</w:t>
      </w:r>
    </w:p>
    <w:p>
      <w:pPr>
        <w:spacing w:line="600" w:lineRule="exact"/>
        <w:ind w:firstLine="640" w:firstLineChars="200"/>
        <w:rPr>
          <w:rFonts w:ascii="仿宋" w:hAnsi="仿宋" w:eastAsia="仿宋" w:cs="Times New Roman"/>
          <w:color w:val="FF0000"/>
          <w:sz w:val="32"/>
        </w:rPr>
      </w:pPr>
    </w:p>
    <w:p>
      <w:pPr>
        <w:pStyle w:val="4"/>
        <w:spacing w:beforeLines="50" w:afterLines="50" w:line="360" w:lineRule="auto"/>
        <w:rPr>
          <w:rFonts w:ascii="黑体" w:eastAsia="黑体"/>
          <w:sz w:val="32"/>
          <w:szCs w:val="32"/>
        </w:rPr>
      </w:pPr>
      <w:r>
        <w:rPr>
          <w:rFonts w:hint="eastAsia" w:ascii="黑体" w:eastAsia="黑体"/>
          <w:sz w:val="32"/>
          <w:szCs w:val="32"/>
        </w:rPr>
        <w:t>环保机构和队伍建设</w:t>
      </w:r>
    </w:p>
    <w:p>
      <w:pPr>
        <w:spacing w:line="600" w:lineRule="exact"/>
        <w:ind w:firstLine="560" w:firstLineChars="200"/>
        <w:rPr>
          <w:rFonts w:hint="eastAsia" w:eastAsia="仿宋_GB2312"/>
          <w:sz w:val="28"/>
          <w:szCs w:val="28"/>
        </w:rPr>
      </w:pPr>
      <w:r>
        <w:rPr>
          <w:rFonts w:hint="eastAsia" w:eastAsia="仿宋_GB2312"/>
          <w:sz w:val="28"/>
          <w:szCs w:val="28"/>
        </w:rPr>
        <w:t>省环保厅继续强化环保机构和队伍建设，为了把环境应急管理工作落到实处，组建了山西省环境应急中心。</w:t>
      </w:r>
    </w:p>
    <w:p>
      <w:pPr>
        <w:spacing w:line="600" w:lineRule="exact"/>
        <w:ind w:firstLine="560" w:firstLineChars="200"/>
        <w:rPr>
          <w:rFonts w:hint="eastAsia" w:eastAsia="仿宋_GB2312"/>
          <w:color w:val="auto"/>
          <w:sz w:val="28"/>
          <w:szCs w:val="28"/>
        </w:rPr>
      </w:pPr>
      <w:r>
        <w:rPr>
          <w:rFonts w:hint="eastAsia" w:eastAsia="仿宋_GB2312"/>
          <w:color w:val="auto"/>
          <w:sz w:val="28"/>
          <w:szCs w:val="28"/>
        </w:rPr>
        <w:t>截止2017年底，全省共设置各类环保机构</w:t>
      </w:r>
      <w:r>
        <w:rPr>
          <w:rFonts w:hint="eastAsia" w:eastAsia="仿宋_GB2312"/>
          <w:color w:val="auto"/>
          <w:sz w:val="28"/>
          <w:szCs w:val="28"/>
          <w:lang w:val="en-US" w:eastAsia="zh-CN"/>
        </w:rPr>
        <w:t>670</w:t>
      </w:r>
      <w:r>
        <w:rPr>
          <w:rFonts w:hint="eastAsia" w:eastAsia="仿宋_GB2312"/>
          <w:color w:val="auto"/>
          <w:sz w:val="28"/>
          <w:szCs w:val="28"/>
        </w:rPr>
        <w:t>个，其中省级19个。全省共设置环境监察机构</w:t>
      </w:r>
      <w:r>
        <w:rPr>
          <w:rFonts w:hint="eastAsia" w:eastAsia="仿宋_GB2312"/>
          <w:color w:val="auto"/>
          <w:sz w:val="28"/>
          <w:szCs w:val="28"/>
          <w:lang w:val="en-US" w:eastAsia="zh-CN"/>
        </w:rPr>
        <w:t>243</w:t>
      </w:r>
      <w:r>
        <w:rPr>
          <w:rFonts w:hint="eastAsia" w:eastAsia="仿宋_GB2312"/>
          <w:color w:val="auto"/>
          <w:sz w:val="28"/>
          <w:szCs w:val="28"/>
        </w:rPr>
        <w:t>个，环境监测机构137个，辐射环境监测机构17个，环保科研院所1</w:t>
      </w:r>
      <w:r>
        <w:rPr>
          <w:rFonts w:hint="eastAsia" w:eastAsia="仿宋_GB2312"/>
          <w:color w:val="auto"/>
          <w:sz w:val="28"/>
          <w:szCs w:val="28"/>
          <w:lang w:val="en-US" w:eastAsia="zh-CN"/>
        </w:rPr>
        <w:t>1</w:t>
      </w:r>
      <w:r>
        <w:rPr>
          <w:rFonts w:hint="eastAsia" w:eastAsia="仿宋_GB2312"/>
          <w:color w:val="auto"/>
          <w:sz w:val="28"/>
          <w:szCs w:val="28"/>
        </w:rPr>
        <w:t>个，环保宣教机构1</w:t>
      </w:r>
      <w:r>
        <w:rPr>
          <w:rFonts w:hint="eastAsia" w:eastAsia="仿宋_GB2312"/>
          <w:color w:val="auto"/>
          <w:sz w:val="28"/>
          <w:szCs w:val="28"/>
          <w:lang w:val="en-US" w:eastAsia="zh-CN"/>
        </w:rPr>
        <w:t>0</w:t>
      </w:r>
      <w:r>
        <w:rPr>
          <w:rFonts w:hint="eastAsia" w:eastAsia="仿宋_GB2312"/>
          <w:color w:val="auto"/>
          <w:sz w:val="28"/>
          <w:szCs w:val="28"/>
        </w:rPr>
        <w:t>个，环境信息机构</w:t>
      </w:r>
      <w:r>
        <w:rPr>
          <w:rFonts w:hint="eastAsia" w:eastAsia="仿宋_GB2312"/>
          <w:color w:val="auto"/>
          <w:sz w:val="28"/>
          <w:szCs w:val="28"/>
          <w:lang w:val="en-US" w:eastAsia="zh-CN"/>
        </w:rPr>
        <w:t>11</w:t>
      </w:r>
      <w:r>
        <w:rPr>
          <w:rFonts w:hint="eastAsia" w:eastAsia="仿宋_GB2312"/>
          <w:color w:val="auto"/>
          <w:sz w:val="28"/>
          <w:szCs w:val="28"/>
        </w:rPr>
        <w:t>个，环境应急机构</w:t>
      </w:r>
      <w:r>
        <w:rPr>
          <w:rFonts w:hint="eastAsia" w:eastAsia="仿宋_GB2312"/>
          <w:color w:val="auto"/>
          <w:sz w:val="28"/>
          <w:szCs w:val="28"/>
          <w:lang w:val="en-US" w:eastAsia="zh-CN"/>
        </w:rPr>
        <w:t>4</w:t>
      </w:r>
      <w:r>
        <w:rPr>
          <w:rFonts w:hint="eastAsia" w:eastAsia="仿宋_GB2312"/>
          <w:color w:val="auto"/>
          <w:sz w:val="28"/>
          <w:szCs w:val="28"/>
        </w:rPr>
        <w:t>个。全省环保系统年末实有人数为12165人。</w:t>
      </w:r>
    </w:p>
    <w:p>
      <w:pPr>
        <w:pStyle w:val="4"/>
        <w:spacing w:beforeLines="50" w:afterLines="50" w:line="360" w:lineRule="auto"/>
        <w:rPr>
          <w:rFonts w:ascii="黑体" w:eastAsia="黑体"/>
          <w:sz w:val="32"/>
          <w:szCs w:val="32"/>
        </w:rPr>
      </w:pPr>
      <w:r>
        <w:rPr>
          <w:rFonts w:hint="eastAsia" w:ascii="黑体" w:eastAsia="黑体"/>
          <w:sz w:val="32"/>
          <w:szCs w:val="32"/>
        </w:rPr>
        <w:t>对外合作交流</w:t>
      </w:r>
    </w:p>
    <w:p>
      <w:pPr>
        <w:spacing w:line="6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按照省外侨办的统一安排，组织我省相关单位及企业参加了韩国环境部、韩国企业推介团在大同市组织召开的韩国山西大气污染防治示范项目技术说明会；根据省外侨办的要求，对我省与韩国全罗南道开展环境领域的合作进行了进一步研究，提出了我省与韩国全罗南道在环保领域的合作需求与交流的具体事项。</w:t>
      </w:r>
    </w:p>
    <w:p>
      <w:pPr>
        <w:pStyle w:val="4"/>
        <w:spacing w:beforeLines="50" w:afterLines="50" w:line="360" w:lineRule="auto"/>
        <w:rPr>
          <w:rFonts w:ascii="黑体" w:eastAsia="黑体"/>
          <w:sz w:val="32"/>
          <w:szCs w:val="32"/>
        </w:rPr>
      </w:pPr>
      <w:r>
        <w:rPr>
          <w:rFonts w:hint="eastAsia" w:ascii="黑体" w:eastAsia="黑体"/>
          <w:sz w:val="32"/>
          <w:szCs w:val="32"/>
        </w:rPr>
        <w:t>省委目标责任制考核</w:t>
      </w:r>
    </w:p>
    <w:p>
      <w:pPr>
        <w:spacing w:line="600" w:lineRule="exact"/>
        <w:ind w:firstLine="560" w:firstLineChars="200"/>
        <w:rPr>
          <w:rFonts w:hint="eastAsia" w:eastAsia="仿宋_GB2312"/>
          <w:sz w:val="28"/>
          <w:szCs w:val="28"/>
        </w:rPr>
      </w:pPr>
      <w:r>
        <w:rPr>
          <w:rFonts w:hint="eastAsia" w:eastAsia="仿宋_GB2312"/>
          <w:sz w:val="28"/>
          <w:szCs w:val="28"/>
        </w:rPr>
        <w:t>省环保厅高度重视省委年度目标责任考核工作，认真部署，做好目标任务内部分工和任务细化分解；做好过程管理和进展情况报送；精准推进落实，确保工作时效。2017年省委考核省环保厅的16项综合考评指标和6项工作任务指标全部如期完成，环境保护各项工作取得积极进展。在省委组织的2017年度目标责任考核中，省环保厅取得“良好”等次。</w:t>
      </w:r>
    </w:p>
    <w:p>
      <w:pPr>
        <w:spacing w:line="600" w:lineRule="exact"/>
        <w:ind w:firstLine="420" w:firstLineChars="200"/>
        <w:rPr>
          <w:color w:val="FF0000"/>
        </w:rPr>
      </w:pPr>
      <w:r>
        <w:rPr>
          <w:rFonts w:hint="eastAsia"/>
          <w:color w:val="FF0000"/>
        </w:rPr>
        <w:t xml:space="preserve"> </w:t>
      </w:r>
    </w:p>
    <w:p>
      <w:pPr>
        <w:spacing w:line="600" w:lineRule="exact"/>
        <w:ind w:firstLine="2249" w:firstLineChars="700"/>
        <w:rPr>
          <w:rFonts w:hint="eastAsia" w:eastAsia="仿宋_GB2312"/>
          <w:b/>
          <w:bCs/>
          <w:sz w:val="32"/>
          <w:szCs w:val="32"/>
        </w:rPr>
      </w:pPr>
      <w:r>
        <w:rPr>
          <w:rFonts w:hint="eastAsia" w:eastAsia="仿宋_GB2312"/>
          <w:b/>
          <w:bCs/>
          <w:sz w:val="32"/>
          <w:szCs w:val="32"/>
        </w:rPr>
        <w:t>山西省环境保护大事记</w:t>
      </w:r>
    </w:p>
    <w:p>
      <w:pPr>
        <w:spacing w:line="6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1月24日，省环保厅召开全省环境保护暨党风廉政建设工作会议，认真总结2016年环保工作，安排部署2017年环保重点工作和全面从严治党、加强党风廉政建设工作。</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2月13日，省环保厅召开第一季度空气质量专项督察部署会，决定从即日起至3月20日在全省开展第一季度空气质量专项督查。</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2月18日，环保部副部长黄润秋带领环保部2017年第一季度空气质量专项督查组一行</w:t>
      </w:r>
      <w:r>
        <w:rPr>
          <w:rFonts w:hint="eastAsia" w:eastAsia="仿宋_GB2312"/>
          <w:sz w:val="28"/>
          <w:szCs w:val="28"/>
          <w:lang w:val="en-US" w:eastAsia="zh-CN"/>
        </w:rPr>
        <w:t>赴</w:t>
      </w:r>
      <w:r>
        <w:rPr>
          <w:rFonts w:hint="default" w:eastAsia="仿宋_GB2312"/>
          <w:sz w:val="28"/>
          <w:szCs w:val="28"/>
          <w:lang w:val="en-US" w:eastAsia="zh-CN"/>
        </w:rPr>
        <w:t>临汾市督查工作。</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2月27日，省政府召开全省持续改善生态环境质量、接受中央环境保护督察工作部署会。</w:t>
      </w:r>
    </w:p>
    <w:p>
      <w:pPr>
        <w:spacing w:line="6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２</w:t>
      </w:r>
      <w:r>
        <w:rPr>
          <w:rFonts w:hint="default" w:eastAsia="仿宋_GB2312"/>
          <w:sz w:val="28"/>
          <w:szCs w:val="28"/>
          <w:lang w:val="en-US" w:eastAsia="zh-CN"/>
        </w:rPr>
        <w:t>月28日，省农村人居办、省财政厅、省住建厅、省环保厅、省卫计委在太原共同举行“山西省农村生活垃圾治理、污水综合利用及农村改厕项目政府购买服务协议签约仪式”，决定向农发行正式申请贷款36亿元，用于11个农村生活垃圾治理示范县、8个农村污水综合利用试点县和36万座农村改厕任务</w:t>
      </w:r>
      <w:r>
        <w:rPr>
          <w:rFonts w:hint="eastAsia" w:eastAsia="仿宋_GB2312"/>
          <w:sz w:val="28"/>
          <w:szCs w:val="28"/>
          <w:lang w:val="en-US" w:eastAsia="zh-CN"/>
        </w:rPr>
        <w:t>，</w:t>
      </w:r>
      <w:r>
        <w:rPr>
          <w:rFonts w:hint="default" w:eastAsia="仿宋_GB2312"/>
          <w:sz w:val="28"/>
          <w:szCs w:val="28"/>
          <w:lang w:val="en-US" w:eastAsia="zh-CN"/>
        </w:rPr>
        <w:t>开启了我省农村环境整治的新局面。</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3月16日，省环保厅印发《关于推进落实全省排污许可证核发工作的通知</w:t>
      </w:r>
      <w:r>
        <w:rPr>
          <w:rFonts w:hint="eastAsia" w:eastAsia="仿宋_GB2312"/>
          <w:sz w:val="28"/>
          <w:szCs w:val="28"/>
          <w:lang w:val="en-US" w:eastAsia="zh-CN"/>
        </w:rPr>
        <w:t>》</w:t>
      </w:r>
      <w:r>
        <w:rPr>
          <w:rFonts w:hint="default" w:eastAsia="仿宋_GB2312"/>
          <w:sz w:val="28"/>
          <w:szCs w:val="28"/>
          <w:lang w:val="en-US" w:eastAsia="zh-CN"/>
        </w:rPr>
        <w:t>，公布了我省排污许可证的申请时限、核发机关、申请程序等相关事项。</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3月27日，楼阳生省长在临汾市调研环境保护工作并主持召开座谈会。楼阳生强调，要强化环境保护“党政同责、一岗双责”要求，严格督察，压实责任，加大力度，坚决打赢大气、水、土壤污染防治三大战役。</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4月11日,省环境保护督察组向阳泉、临汾市委市政府进行了督察反馈。</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4月18日至19日，省委书记、省人大常委会主任骆惠宁深入临汾侯马市、曲沃县、襄汾县和尧都区进行调研</w:t>
      </w:r>
      <w:r>
        <w:rPr>
          <w:rFonts w:hint="eastAsia" w:eastAsia="仿宋_GB2312"/>
          <w:sz w:val="28"/>
          <w:szCs w:val="28"/>
          <w:lang w:val="en-US" w:eastAsia="zh-CN"/>
        </w:rPr>
        <w:t>，</w:t>
      </w:r>
      <w:r>
        <w:rPr>
          <w:rFonts w:hint="default" w:eastAsia="仿宋_GB2312"/>
          <w:sz w:val="28"/>
          <w:szCs w:val="28"/>
          <w:lang w:val="en-US" w:eastAsia="zh-CN"/>
        </w:rPr>
        <w:t>要求进一步大力推进环境整治，实施好煤改气、煤改电等清洁取暖工程，让人民群众共享生态文明成果。</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4月28日，中央第二环境保护督察组督察我省工作动员会在太原召开，中央第二环境保护督察组组长杨松、副组长黄润秋就做好督察工作分别作了讲话，省委书记骆惠宁作了动员讲话，会议由省长楼阳生主持。会议结束后，各市迅速行动起来，对迎接中央环保督察工作进行全面部署。</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5月8日，以“推动绿色发展，建设美丽山西”为主题的2017年三晋环保行活动在太原启动。省人大常委会副主任田喜荣宣布活动启动并讲话。　　</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5月12日，省政府召开第150次常务会议，听取中央环保督察交办问题整改工作情况汇报。</w:t>
      </w:r>
    </w:p>
    <w:p>
      <w:pPr>
        <w:spacing w:line="6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5月15日，省委第</w:t>
      </w:r>
      <w:bookmarkStart w:id="2" w:name="_GoBack"/>
      <w:bookmarkEnd w:id="2"/>
      <w:r>
        <w:rPr>
          <w:rFonts w:hint="eastAsia" w:eastAsia="仿宋_GB2312"/>
          <w:sz w:val="28"/>
          <w:szCs w:val="28"/>
          <w:lang w:val="en-US" w:eastAsia="zh-CN"/>
        </w:rPr>
        <w:t>21次常委会议听取中央环保督察反馈问题整改工作汇报。</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5月25日，省委书记骆惠宁主持召开十一届省委24次常委会议，听取中央环保督察组交办问题整改情况汇报，审议通过《山西省党政领导干部生态环境损害责任追究实施细则（试行）》和取缔“散乱污”企业、工业企业违法排污整治、露天煤矿和非煤矿山开采破坏生态环境百日专项治理整顿、加快推进畜禽粪污处理和资源化等4个专项整改方案。</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5月27日，省委、省政府环境保护督察组分别进驻忻州、吕梁、晋中三市，开展第三批</w:t>
      </w:r>
      <w:r>
        <w:rPr>
          <w:rFonts w:hint="eastAsia" w:eastAsia="仿宋_GB2312"/>
          <w:sz w:val="28"/>
          <w:szCs w:val="28"/>
          <w:lang w:val="en-US" w:eastAsia="zh-CN"/>
        </w:rPr>
        <w:t>省级</w:t>
      </w:r>
      <w:r>
        <w:rPr>
          <w:rFonts w:hint="default" w:eastAsia="仿宋_GB2312"/>
          <w:sz w:val="28"/>
          <w:szCs w:val="28"/>
          <w:lang w:val="en-US" w:eastAsia="zh-CN"/>
        </w:rPr>
        <w:t>环境保护督察工作</w:t>
      </w:r>
      <w:r>
        <w:rPr>
          <w:rFonts w:hint="eastAsia" w:eastAsia="仿宋_GB2312"/>
          <w:sz w:val="28"/>
          <w:szCs w:val="28"/>
          <w:lang w:val="en-US" w:eastAsia="zh-CN"/>
        </w:rPr>
        <w:t>。</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6月4日，省环境保护厅举办环境文化宣传系列活动</w:t>
      </w:r>
      <w:r>
        <w:rPr>
          <w:rFonts w:hint="eastAsia" w:eastAsia="仿宋_GB2312"/>
          <w:sz w:val="28"/>
          <w:szCs w:val="28"/>
          <w:lang w:val="en-US" w:eastAsia="zh-CN"/>
        </w:rPr>
        <w:t>，</w:t>
      </w:r>
      <w:r>
        <w:rPr>
          <w:rFonts w:hint="default" w:eastAsia="仿宋_GB2312"/>
          <w:sz w:val="28"/>
          <w:szCs w:val="28"/>
          <w:lang w:val="en-US" w:eastAsia="zh-CN"/>
        </w:rPr>
        <w:t>纪念“6.5”世界环境日。</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6月5日至9日，全国人大常委会副委员长陈昌智率检查组在我省开展固体废物污染环境防治法执法检查</w:t>
      </w:r>
      <w:r>
        <w:rPr>
          <w:rFonts w:hint="eastAsia" w:eastAsia="仿宋_GB2312"/>
          <w:sz w:val="28"/>
          <w:szCs w:val="28"/>
          <w:lang w:val="en-US" w:eastAsia="zh-CN"/>
        </w:rPr>
        <w:t>。</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6月7日，桑干河治理工程在大同县吉家庄村正式开工，全省七河生态修复工程同时启动，标志着我省生态文明建设和山水林田湖系统治理打响了又一重大战役。省长楼阳生宣布工程启动开工。</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 xml:space="preserve">6月12日，省委政法委、省高级人民法院、省人民检察院、省公安厅、省环保厅联合下发《山西省打击环境污染犯罪专项行动实施方案》，决定从6月至12月，在全省范围内组织开展为期7个月的打击环境污染犯罪专项行动。 </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7月4日</w:t>
      </w:r>
      <w:r>
        <w:rPr>
          <w:rFonts w:hint="eastAsia" w:eastAsia="仿宋_GB2312"/>
          <w:sz w:val="28"/>
          <w:szCs w:val="28"/>
          <w:lang w:val="en-US" w:eastAsia="zh-CN"/>
        </w:rPr>
        <w:t>，山西省</w:t>
      </w:r>
      <w:r>
        <w:rPr>
          <w:rFonts w:hint="default" w:eastAsia="仿宋_GB2312"/>
          <w:sz w:val="28"/>
          <w:szCs w:val="28"/>
          <w:lang w:val="en-US" w:eastAsia="zh-CN"/>
        </w:rPr>
        <w:t>第二次全国污染源普查工作领导组成立</w:t>
      </w:r>
      <w:r>
        <w:rPr>
          <w:rFonts w:hint="eastAsia" w:eastAsia="仿宋_GB2312"/>
          <w:sz w:val="28"/>
          <w:szCs w:val="28"/>
          <w:lang w:val="en-US" w:eastAsia="zh-CN"/>
        </w:rPr>
        <w:t>。</w:t>
      </w:r>
      <w:r>
        <w:rPr>
          <w:rFonts w:hint="default" w:eastAsia="仿宋_GB2312"/>
          <w:sz w:val="28"/>
          <w:szCs w:val="28"/>
          <w:lang w:val="en-US" w:eastAsia="zh-CN"/>
        </w:rPr>
        <w:t>7月20日，我省第二次全国污染源普查工作推进会召开。</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7月30日</w:t>
      </w:r>
      <w:r>
        <w:rPr>
          <w:rFonts w:hint="eastAsia" w:eastAsia="仿宋_GB2312"/>
          <w:sz w:val="28"/>
          <w:szCs w:val="28"/>
          <w:lang w:val="en-US" w:eastAsia="zh-CN"/>
        </w:rPr>
        <w:t>，在</w:t>
      </w:r>
      <w:r>
        <w:rPr>
          <w:rFonts w:hint="default" w:eastAsia="仿宋_GB2312"/>
          <w:sz w:val="28"/>
          <w:szCs w:val="28"/>
          <w:lang w:val="en-US" w:eastAsia="zh-CN"/>
        </w:rPr>
        <w:t>中央第二环境保护督察组督察山西省情况反馈会上，省委书记骆惠宁作表态发言时就抓好整改提出明确要求。他强调，要全面贯彻落实党中央、国务院关于环保工作决策部署，通过督察和整改，倒逼经济转型发展，让新发展理念在三晋大地生根结果，以整改的优异成效、生态文明建设的崭新成果，向中央和全省人民交上一份合格的答卷。</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8 月 4 日，省长楼阳生主持召开省政府第 158 次常务会议，具体部署中央环保督察反馈问题整改工作和下一步环保重点任务等工作。</w:t>
      </w:r>
    </w:p>
    <w:p>
      <w:pPr>
        <w:spacing w:line="6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9月25日，省委、省政府召开全省中央环保督察反馈意见整改落实动员部署会，省委副书记、省长楼阳生出席并讲话。</w:t>
      </w:r>
    </w:p>
    <w:p>
      <w:pPr>
        <w:spacing w:line="6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10月15日，省环保厅召开会议对4个通道城市的重污染天气应急预案尤其是工业企业清单进行审核，并陆续对其余7市上报预案进行审核。</w:t>
      </w:r>
    </w:p>
    <w:p>
      <w:pPr>
        <w:spacing w:line="6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10月15日，省委省政府环保督察组进驻太原、大同、朔州、运城4市，开展第四轮省级环保督察，实现省级环保督察全覆盖。</w:t>
      </w:r>
    </w:p>
    <w:p>
      <w:pPr>
        <w:spacing w:line="6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10月13日，我省生态保护红线工作领导小组召开第一次会议。</w:t>
      </w:r>
    </w:p>
    <w:p>
      <w:pPr>
        <w:spacing w:line="6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10月26日，长治市环保局向山西通洲煤焦集团股份有限公司颁发了全国首张焦化行业国家统一编码的排污许可证,标志着我省排污许可管理工作又上了一个新台阶。</w:t>
      </w:r>
    </w:p>
    <w:p>
      <w:pPr>
        <w:spacing w:line="6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11月26日，贺天才副省长在太钢、太原二电厂就企业在除尘抑尘、脱硫脱硝和落实重污染天气橙色应急响应方面采取的工艺和相关设施运行情况进行调研。</w:t>
      </w:r>
    </w:p>
    <w:p>
      <w:pPr>
        <w:spacing w:line="6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12月2日，省地税局、省环保厅联合召开环境保护税法宣传启动仪式。</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12月10—14日，由中央电视台、中国青年报、南方都市报、中新网、光明网、中国经济网、澎湃新闻等多家媒体组成的环保部“打赢蓝天保卫战”采访团先后到太原、长治、临汾等市的十多个单位，就秋冬季大气污染治理攻坚行动进行深入采访。</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12月12日，省环保厅公布了11月份全省环境空气质量奖惩情况，太原、晋城、晋中、运城、临汾、吕梁6市被扣罚金额共计1915.20万元。</w:t>
      </w:r>
    </w:p>
    <w:p>
      <w:pPr>
        <w:spacing w:line="600" w:lineRule="exact"/>
        <w:ind w:firstLine="560" w:firstLineChars="200"/>
        <w:rPr>
          <w:rFonts w:hint="default" w:eastAsia="仿宋_GB2312"/>
          <w:sz w:val="28"/>
          <w:szCs w:val="28"/>
          <w:lang w:val="en-US" w:eastAsia="zh-CN"/>
        </w:rPr>
      </w:pPr>
      <w:r>
        <w:rPr>
          <w:rFonts w:hint="default" w:eastAsia="仿宋_GB2312"/>
          <w:sz w:val="28"/>
          <w:szCs w:val="28"/>
          <w:lang w:val="en-US" w:eastAsia="zh-CN"/>
        </w:rPr>
        <w:t>12月15日，韩国环境部长金恩京莅</w:t>
      </w:r>
      <w:r>
        <w:rPr>
          <w:rFonts w:hint="eastAsia" w:eastAsia="仿宋_GB2312"/>
          <w:sz w:val="28"/>
          <w:szCs w:val="28"/>
          <w:lang w:val="en-US" w:eastAsia="zh-CN"/>
        </w:rPr>
        <w:t>临大</w:t>
      </w:r>
      <w:r>
        <w:rPr>
          <w:rFonts w:hint="default" w:eastAsia="仿宋_GB2312"/>
          <w:sz w:val="28"/>
          <w:szCs w:val="28"/>
          <w:lang w:val="en-US" w:eastAsia="zh-CN"/>
        </w:rPr>
        <w:t>同考察访问，并主持召开晋·韩大气污染防治韩国优秀技术说明会。</w:t>
      </w:r>
    </w:p>
    <w:p>
      <w:pPr>
        <w:spacing w:line="600" w:lineRule="exact"/>
        <w:ind w:firstLine="560" w:firstLineChars="200"/>
        <w:rPr>
          <w:rFonts w:hint="eastAsia" w:eastAsia="仿宋_GB2312"/>
          <w:sz w:val="28"/>
          <w:szCs w:val="28"/>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altName w:val="宋体"/>
    <w:panose1 w:val="00000000000000000000"/>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FZHZGBJW--GB1-0">
    <w:altName w:val="Times New Roman"/>
    <w:panose1 w:val="00000000000000000000"/>
    <w:charset w:val="00"/>
    <w:family w:val="roman"/>
    <w:pitch w:val="default"/>
    <w:sig w:usb0="00000000" w:usb1="00000000" w:usb2="00000000" w:usb3="00000000" w:csb0="00000001" w:csb1="00000000"/>
  </w:font>
  <w:font w:name="方正大标宋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rPr>
    </w:pPr>
    <w:r>
      <w:rPr>
        <w:sz w:val="24"/>
      </w:rPr>
      <w:fldChar w:fldCharType="begin"/>
    </w:r>
    <w:r>
      <w:rPr>
        <w:sz w:val="24"/>
      </w:rPr>
      <w:instrText xml:space="preserve"> PAGE   \* MERGEFORMAT </w:instrText>
    </w:r>
    <w:r>
      <w:rPr>
        <w:sz w:val="24"/>
      </w:rPr>
      <w:fldChar w:fldCharType="separate"/>
    </w:r>
    <w:r>
      <w:rPr>
        <w:sz w:val="24"/>
        <w:lang w:val="zh-CN"/>
      </w:rPr>
      <w:t>2</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1"/>
      </w:pBdr>
      <w:rPr>
        <w:sz w:val="24"/>
        <w:szCs w:val="24"/>
      </w:rPr>
    </w:pPr>
    <w:r>
      <w:rPr>
        <w:rFonts w:hint="eastAsia"/>
        <w:sz w:val="24"/>
        <w:szCs w:val="24"/>
      </w:rPr>
      <w:t xml:space="preserve"> * 根据《关于印发&lt;受沙尘天气过程影响城市空气质量评价补充规定&gt;的通知》（环办监测[2016]120号），在环境空气质量评价时扣除了沙尘天气影响。</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0474"/>
    <w:multiLevelType w:val="multilevel"/>
    <w:tmpl w:val="235B0474"/>
    <w:lvl w:ilvl="0" w:tentative="0">
      <w:start w:val="1"/>
      <w:numFmt w:val="none"/>
      <w:suff w:val="nothing"/>
      <w:lvlText w:val=""/>
      <w:lvlJc w:val="center"/>
      <w:pPr>
        <w:ind w:left="0" w:firstLine="0"/>
      </w:pPr>
      <w:rPr>
        <w:rFonts w:hint="eastAsia"/>
      </w:rPr>
    </w:lvl>
    <w:lvl w:ilvl="1" w:tentative="0">
      <w:start w:val="1"/>
      <w:numFmt w:val="chineseCountingThousand"/>
      <w:pStyle w:val="3"/>
      <w:suff w:val="nothing"/>
      <w:lvlText w:val="%2、"/>
      <w:lvlJc w:val="left"/>
      <w:pPr>
        <w:ind w:left="1080" w:firstLine="0"/>
      </w:pPr>
      <w:rPr>
        <w:rFonts w:hint="eastAsia" w:ascii="黑体" w:eastAsia="黑体"/>
        <w:b w:val="0"/>
        <w:i w:val="0"/>
        <w:sz w:val="32"/>
        <w:szCs w:val="32"/>
      </w:rPr>
    </w:lvl>
    <w:lvl w:ilvl="2" w:tentative="0">
      <w:start w:val="1"/>
      <w:numFmt w:val="chineseCountingThousand"/>
      <w:suff w:val="nothing"/>
      <w:lvlText w:val="（%3）"/>
      <w:lvlJc w:val="left"/>
      <w:pPr>
        <w:ind w:left="0" w:firstLine="0"/>
      </w:pPr>
      <w:rPr>
        <w:rFonts w:hint="eastAsia" w:ascii="华文楷体" w:eastAsia="华文楷体"/>
        <w:b/>
        <w:i w:val="0"/>
        <w:sz w:val="32"/>
        <w:szCs w:val="32"/>
      </w:rPr>
    </w:lvl>
    <w:lvl w:ilvl="3" w:tentative="0">
      <w:start w:val="1"/>
      <w:numFmt w:val="decimal"/>
      <w:suff w:val="nothing"/>
      <w:lvlText w:val="%4、"/>
      <w:lvlJc w:val="left"/>
      <w:pPr>
        <w:ind w:left="0" w:firstLine="0"/>
      </w:pPr>
      <w:rPr>
        <w:rFonts w:hint="eastAsia" w:ascii="仿宋_GB2312" w:eastAsia="仿宋_GB2312"/>
        <w:b/>
        <w:i w:val="0"/>
        <w:sz w:val="32"/>
        <w:szCs w:val="32"/>
      </w:rPr>
    </w:lvl>
    <w:lvl w:ilvl="4" w:tentative="0">
      <w:start w:val="1"/>
      <w:numFmt w:val="decimal"/>
      <w:suff w:val="nothing"/>
      <w:lvlText w:val="（%5）"/>
      <w:lvlJc w:val="left"/>
      <w:pPr>
        <w:ind w:left="0" w:firstLine="0"/>
      </w:pPr>
      <w:rPr>
        <w:rFonts w:hint="eastAsia" w:ascii="仿宋_GB2312" w:hAnsi="Times New Roman" w:eastAsia="仿宋_GB2312" w:cs="Times New Roman"/>
        <w:b w:val="0"/>
        <w:bCs w:val="0"/>
        <w:i w:val="0"/>
        <w:iCs w:val="0"/>
        <w:caps w:val="0"/>
        <w:strike w:val="0"/>
        <w:dstrike w:val="0"/>
        <w:outline w:val="0"/>
        <w:shadow w:val="0"/>
        <w:emboss w:val="0"/>
        <w:imprint w:val="0"/>
        <w:vanish w:val="0"/>
        <w:spacing w:val="0"/>
        <w:position w:val="0"/>
        <w:sz w:val="32"/>
        <w:szCs w:val="32"/>
        <w:u w:val="none"/>
        <w:vertAlign w:val="baseline"/>
      </w:rPr>
    </w:lvl>
    <w:lvl w:ilvl="5" w:tentative="0">
      <w:start w:val="1"/>
      <w:numFmt w:val="decimal"/>
      <w:suff w:val="nothing"/>
      <w:lvlText w:val="%6）"/>
      <w:lvlJc w:val="left"/>
      <w:pPr>
        <w:ind w:left="0" w:firstLine="0"/>
      </w:pPr>
      <w:rPr>
        <w:rFonts w:hint="eastAsia" w:ascii="仿宋_GB2312" w:eastAsia="仿宋_GB2312"/>
        <w:b w:val="0"/>
        <w:i w:val="0"/>
        <w:color w:val="auto"/>
        <w:sz w:val="32"/>
        <w:szCs w:val="32"/>
      </w:rPr>
    </w:lvl>
    <w:lvl w:ilvl="6" w:tentative="0">
      <w:start w:val="1"/>
      <w:numFmt w:val="decimal"/>
      <w:suff w:val="nothing"/>
      <w:lvlText w:val="%7、"/>
      <w:lvlJc w:val="left"/>
      <w:pPr>
        <w:ind w:left="0" w:firstLine="0"/>
      </w:pPr>
      <w:rPr>
        <w:rFonts w:hint="eastAsia" w:ascii="仿宋_GB2312" w:eastAsia="仿宋_GB2312"/>
        <w:b w:val="0"/>
        <w:i w:val="0"/>
        <w:sz w:val="32"/>
        <w:szCs w:val="32"/>
      </w:rPr>
    </w:lvl>
    <w:lvl w:ilvl="7" w:tentative="0">
      <w:start w:val="1"/>
      <w:numFmt w:val="decimal"/>
      <w:suff w:val="space"/>
      <w:lvlText w:val="%8"/>
      <w:lvlJc w:val="left"/>
      <w:pPr>
        <w:ind w:left="0" w:firstLine="0"/>
      </w:pPr>
      <w:rPr>
        <w:rFonts w:hint="eastAsia" w:ascii="黑体" w:eastAsia="黑体"/>
        <w:sz w:val="28"/>
        <w:szCs w:val="28"/>
      </w:rPr>
    </w:lvl>
    <w:lvl w:ilvl="8" w:tentative="0">
      <w:start w:val="1"/>
      <w:numFmt w:val="decimal"/>
      <w:suff w:val="space"/>
      <w:lvlText w:val="%8.%9"/>
      <w:lvlJc w:val="left"/>
      <w:pPr>
        <w:ind w:left="0" w:firstLine="0"/>
      </w:pPr>
      <w:rPr>
        <w:rFonts w:hint="eastAsia" w:ascii="宋体" w:eastAsia="宋体"/>
        <w:b/>
        <w:i w:val="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6330"/>
    <w:rsid w:val="001722C8"/>
    <w:rsid w:val="00216B7A"/>
    <w:rsid w:val="00341224"/>
    <w:rsid w:val="00405FA4"/>
    <w:rsid w:val="005A6330"/>
    <w:rsid w:val="008E077C"/>
    <w:rsid w:val="00AF4123"/>
    <w:rsid w:val="00B41C84"/>
    <w:rsid w:val="00D62DF6"/>
    <w:rsid w:val="00DA687B"/>
    <w:rsid w:val="00EB44A6"/>
    <w:rsid w:val="00F7103B"/>
    <w:rsid w:val="01821515"/>
    <w:rsid w:val="01FA152D"/>
    <w:rsid w:val="05C1007D"/>
    <w:rsid w:val="074F1A4C"/>
    <w:rsid w:val="075510E1"/>
    <w:rsid w:val="07B43338"/>
    <w:rsid w:val="07DB45F7"/>
    <w:rsid w:val="0AE410E7"/>
    <w:rsid w:val="0B061399"/>
    <w:rsid w:val="0C3B24C0"/>
    <w:rsid w:val="0DFC7358"/>
    <w:rsid w:val="0F4817A5"/>
    <w:rsid w:val="10065C80"/>
    <w:rsid w:val="10211288"/>
    <w:rsid w:val="106D71A6"/>
    <w:rsid w:val="10D43DBD"/>
    <w:rsid w:val="10FE6158"/>
    <w:rsid w:val="11A63974"/>
    <w:rsid w:val="11B23724"/>
    <w:rsid w:val="12B528CF"/>
    <w:rsid w:val="14707597"/>
    <w:rsid w:val="14876C1D"/>
    <w:rsid w:val="149F5E03"/>
    <w:rsid w:val="152417B7"/>
    <w:rsid w:val="168928B9"/>
    <w:rsid w:val="16C15C75"/>
    <w:rsid w:val="17F97508"/>
    <w:rsid w:val="183252B2"/>
    <w:rsid w:val="197B1295"/>
    <w:rsid w:val="1AF342AC"/>
    <w:rsid w:val="1CE00E46"/>
    <w:rsid w:val="1D2577C8"/>
    <w:rsid w:val="1D3C1913"/>
    <w:rsid w:val="1D3C6A7E"/>
    <w:rsid w:val="1E696B56"/>
    <w:rsid w:val="1F247A23"/>
    <w:rsid w:val="1F4A6527"/>
    <w:rsid w:val="1F771BFD"/>
    <w:rsid w:val="20AC42B8"/>
    <w:rsid w:val="212B7770"/>
    <w:rsid w:val="22423B03"/>
    <w:rsid w:val="22E11EF1"/>
    <w:rsid w:val="22F602F8"/>
    <w:rsid w:val="235A0B90"/>
    <w:rsid w:val="241D38E9"/>
    <w:rsid w:val="24525A11"/>
    <w:rsid w:val="24B37F08"/>
    <w:rsid w:val="24D9269E"/>
    <w:rsid w:val="26656E04"/>
    <w:rsid w:val="29DA6ED5"/>
    <w:rsid w:val="2A507AED"/>
    <w:rsid w:val="2B605969"/>
    <w:rsid w:val="2B847CEE"/>
    <w:rsid w:val="2BEE24FD"/>
    <w:rsid w:val="2DF65B4F"/>
    <w:rsid w:val="2EB8600C"/>
    <w:rsid w:val="2F310919"/>
    <w:rsid w:val="2FC25D0F"/>
    <w:rsid w:val="30920F83"/>
    <w:rsid w:val="315B2493"/>
    <w:rsid w:val="32B57D79"/>
    <w:rsid w:val="32F91F26"/>
    <w:rsid w:val="33017B10"/>
    <w:rsid w:val="3330221E"/>
    <w:rsid w:val="3369258F"/>
    <w:rsid w:val="33891079"/>
    <w:rsid w:val="33C84631"/>
    <w:rsid w:val="3696585B"/>
    <w:rsid w:val="36A30281"/>
    <w:rsid w:val="37430CC6"/>
    <w:rsid w:val="37977892"/>
    <w:rsid w:val="37D12820"/>
    <w:rsid w:val="3B30154A"/>
    <w:rsid w:val="3B4B2B7A"/>
    <w:rsid w:val="3BC91702"/>
    <w:rsid w:val="3CB2070D"/>
    <w:rsid w:val="3CEE19BB"/>
    <w:rsid w:val="3EB86BDE"/>
    <w:rsid w:val="3FC771B7"/>
    <w:rsid w:val="404B0D92"/>
    <w:rsid w:val="415039F8"/>
    <w:rsid w:val="4250389A"/>
    <w:rsid w:val="42712C16"/>
    <w:rsid w:val="4293386F"/>
    <w:rsid w:val="4318285B"/>
    <w:rsid w:val="43670693"/>
    <w:rsid w:val="438200E9"/>
    <w:rsid w:val="4384264D"/>
    <w:rsid w:val="43B1281D"/>
    <w:rsid w:val="450E74EF"/>
    <w:rsid w:val="45380C1F"/>
    <w:rsid w:val="4556760C"/>
    <w:rsid w:val="46717BF1"/>
    <w:rsid w:val="47A43841"/>
    <w:rsid w:val="47C51B15"/>
    <w:rsid w:val="48656794"/>
    <w:rsid w:val="48684313"/>
    <w:rsid w:val="486A38EB"/>
    <w:rsid w:val="49726C27"/>
    <w:rsid w:val="49A8004A"/>
    <w:rsid w:val="4A003367"/>
    <w:rsid w:val="4AA560E8"/>
    <w:rsid w:val="4AC039FC"/>
    <w:rsid w:val="4CF36D2A"/>
    <w:rsid w:val="4DF35C7F"/>
    <w:rsid w:val="4E181058"/>
    <w:rsid w:val="4EEC575B"/>
    <w:rsid w:val="4F3D163C"/>
    <w:rsid w:val="50367732"/>
    <w:rsid w:val="51371090"/>
    <w:rsid w:val="51F96AF7"/>
    <w:rsid w:val="522B3223"/>
    <w:rsid w:val="52D70C73"/>
    <w:rsid w:val="53293F4F"/>
    <w:rsid w:val="53B231C5"/>
    <w:rsid w:val="53C8702A"/>
    <w:rsid w:val="54F76C23"/>
    <w:rsid w:val="56291DCF"/>
    <w:rsid w:val="56836C2B"/>
    <w:rsid w:val="593B35EE"/>
    <w:rsid w:val="5A7F2CBC"/>
    <w:rsid w:val="5C697F94"/>
    <w:rsid w:val="5CB161AE"/>
    <w:rsid w:val="5D677712"/>
    <w:rsid w:val="5EB46927"/>
    <w:rsid w:val="5F3B6923"/>
    <w:rsid w:val="600D779E"/>
    <w:rsid w:val="60F01190"/>
    <w:rsid w:val="6378073E"/>
    <w:rsid w:val="63FC311C"/>
    <w:rsid w:val="64B77ED5"/>
    <w:rsid w:val="64C508BF"/>
    <w:rsid w:val="64F15627"/>
    <w:rsid w:val="65010223"/>
    <w:rsid w:val="66AF1004"/>
    <w:rsid w:val="66CE023A"/>
    <w:rsid w:val="672E7146"/>
    <w:rsid w:val="67972ADA"/>
    <w:rsid w:val="68377897"/>
    <w:rsid w:val="68AA43D7"/>
    <w:rsid w:val="69CA40C6"/>
    <w:rsid w:val="6AE40208"/>
    <w:rsid w:val="6BC56EE9"/>
    <w:rsid w:val="6CF66A86"/>
    <w:rsid w:val="6D0B44E7"/>
    <w:rsid w:val="6D4606A4"/>
    <w:rsid w:val="6E7B3BC1"/>
    <w:rsid w:val="6F3949BA"/>
    <w:rsid w:val="704A23D3"/>
    <w:rsid w:val="70740FE5"/>
    <w:rsid w:val="711802F6"/>
    <w:rsid w:val="71BF5027"/>
    <w:rsid w:val="71CD133D"/>
    <w:rsid w:val="71EA143A"/>
    <w:rsid w:val="724F379C"/>
    <w:rsid w:val="735645F0"/>
    <w:rsid w:val="743228FD"/>
    <w:rsid w:val="749F1DFE"/>
    <w:rsid w:val="769B3CE7"/>
    <w:rsid w:val="779D1982"/>
    <w:rsid w:val="77A45364"/>
    <w:rsid w:val="78934D57"/>
    <w:rsid w:val="792272B7"/>
    <w:rsid w:val="79675EF0"/>
    <w:rsid w:val="79753644"/>
    <w:rsid w:val="798607D4"/>
    <w:rsid w:val="79A90AA5"/>
    <w:rsid w:val="7A943C06"/>
    <w:rsid w:val="7ABF09A2"/>
    <w:rsid w:val="7B0F1EE1"/>
    <w:rsid w:val="7BBE12ED"/>
    <w:rsid w:val="7C12445F"/>
    <w:rsid w:val="7C3F5426"/>
    <w:rsid w:val="7C9A22E7"/>
    <w:rsid w:val="7CA962CF"/>
    <w:rsid w:val="7D831559"/>
    <w:rsid w:val="7DBD2FD8"/>
    <w:rsid w:val="7E90277E"/>
    <w:rsid w:val="7EB80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7"/>
    <w:qFormat/>
    <w:uiPriority w:val="0"/>
    <w:pPr>
      <w:keepNext/>
      <w:keepLines/>
      <w:numPr>
        <w:ilvl w:val="1"/>
        <w:numId w:val="1"/>
      </w:numPr>
      <w:ind w:left="0" w:firstLine="200" w:firstLineChars="200"/>
      <w:jc w:val="left"/>
      <w:outlineLvl w:val="1"/>
    </w:pPr>
    <w:rPr>
      <w:rFonts w:ascii="黑体" w:hAnsi="Arial" w:eastAsia="黑体" w:cs="Times New Roman"/>
      <w:bCs/>
      <w:sz w:val="32"/>
      <w:szCs w:val="32"/>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4"/>
    <w:qFormat/>
    <w:uiPriority w:val="0"/>
    <w:pPr>
      <w:spacing w:after="120"/>
    </w:pPr>
    <w:rPr>
      <w:rFonts w:ascii="Times New Roman" w:hAnsi="Times New Roman" w:eastAsia="宋体" w:cs="Times New Roman"/>
      <w:szCs w:val="24"/>
    </w:rPr>
  </w:style>
  <w:style w:type="paragraph" w:styleId="5">
    <w:name w:val="Balloon Text"/>
    <w:basedOn w:val="1"/>
    <w:link w:val="15"/>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semiHidden/>
    <w:unhideWhenUsed/>
    <w:qFormat/>
    <w:uiPriority w:val="99"/>
  </w:style>
  <w:style w:type="character" w:customStyle="1" w:styleId="12">
    <w:name w:val="fontstyle01"/>
    <w:basedOn w:val="9"/>
    <w:qFormat/>
    <w:uiPriority w:val="0"/>
    <w:rPr>
      <w:rFonts w:hint="default" w:ascii="FZHZGBJW--GB1-0" w:hAnsi="FZHZGBJW--GB1-0"/>
      <w:color w:val="21A3D7"/>
      <w:sz w:val="38"/>
      <w:szCs w:val="38"/>
    </w:rPr>
  </w:style>
  <w:style w:type="character" w:customStyle="1" w:styleId="13">
    <w:name w:val="标题 1 Char"/>
    <w:basedOn w:val="9"/>
    <w:link w:val="2"/>
    <w:qFormat/>
    <w:uiPriority w:val="0"/>
    <w:rPr>
      <w:rFonts w:ascii="Times New Roman" w:hAnsi="Times New Roman" w:eastAsia="宋体" w:cs="Times New Roman"/>
      <w:b/>
      <w:bCs/>
      <w:kern w:val="44"/>
      <w:sz w:val="44"/>
      <w:szCs w:val="44"/>
    </w:rPr>
  </w:style>
  <w:style w:type="character" w:customStyle="1" w:styleId="14">
    <w:name w:val="正文文本 Char"/>
    <w:basedOn w:val="9"/>
    <w:link w:val="4"/>
    <w:qFormat/>
    <w:uiPriority w:val="0"/>
    <w:rPr>
      <w:rFonts w:ascii="Times New Roman" w:hAnsi="Times New Roman" w:eastAsia="宋体" w:cs="Times New Roman"/>
      <w:szCs w:val="24"/>
    </w:rPr>
  </w:style>
  <w:style w:type="character" w:customStyle="1" w:styleId="15">
    <w:name w:val="批注框文本 Char"/>
    <w:basedOn w:val="9"/>
    <w:link w:val="5"/>
    <w:semiHidden/>
    <w:qFormat/>
    <w:uiPriority w:val="99"/>
    <w:rPr>
      <w:sz w:val="18"/>
      <w:szCs w:val="18"/>
    </w:rPr>
  </w:style>
  <w:style w:type="paragraph" w:customStyle="1" w:styleId="16">
    <w:name w:val="Char"/>
    <w:basedOn w:val="1"/>
    <w:qFormat/>
    <w:uiPriority w:val="0"/>
    <w:pPr>
      <w:spacing w:line="360" w:lineRule="auto"/>
    </w:pPr>
    <w:rPr>
      <w:rFonts w:ascii="Times New Roman" w:hAnsi="Times New Roman" w:eastAsia="宋体" w:cs="Times New Roman"/>
      <w:szCs w:val="24"/>
    </w:rPr>
  </w:style>
  <w:style w:type="character" w:customStyle="1" w:styleId="17">
    <w:name w:val="标题 2 Char"/>
    <w:basedOn w:val="9"/>
    <w:link w:val="3"/>
    <w:qFormat/>
    <w:uiPriority w:val="0"/>
    <w:rPr>
      <w:rFonts w:ascii="黑体" w:hAnsi="Arial" w:eastAsia="黑体" w:cs="Times New Roman"/>
      <w:bCs/>
      <w:sz w:val="32"/>
      <w:szCs w:val="32"/>
    </w:rPr>
  </w:style>
  <w:style w:type="paragraph" w:customStyle="1" w:styleId="18">
    <w:name w:val="Char1 Char Char Char"/>
    <w:basedOn w:val="1"/>
    <w:qFormat/>
    <w:uiPriority w:val="0"/>
    <w:rPr>
      <w:rFonts w:ascii="Calibri" w:hAnsi="Calibri" w:eastAsia="宋体" w:cs="Calibri"/>
    </w:rPr>
  </w:style>
  <w:style w:type="paragraph" w:customStyle="1" w:styleId="19">
    <w:name w:val="样式 样式 标题1 + 段前: 0.5 行 段后: 0.5 行 + 段前: 0.5 行 段后: 0.5 行"/>
    <w:basedOn w:val="1"/>
    <w:qFormat/>
    <w:uiPriority w:val="0"/>
    <w:pPr>
      <w:spacing w:before="156" w:after="156"/>
      <w:outlineLvl w:val="0"/>
    </w:pPr>
    <w:rPr>
      <w:rFonts w:hint="eastAsia" w:ascii="黑体" w:hAnsi="Times New Roman" w:eastAsia="黑体" w:cs="Times New Roman"/>
      <w:b/>
      <w:sz w:val="32"/>
      <w:szCs w:val="20"/>
    </w:rPr>
  </w:style>
  <w:style w:type="character" w:customStyle="1" w:styleId="20">
    <w:name w:val="页眉 Char"/>
    <w:basedOn w:val="9"/>
    <w:link w:val="7"/>
    <w:semiHidden/>
    <w:qFormat/>
    <w:uiPriority w:val="99"/>
    <w:rPr>
      <w:sz w:val="18"/>
      <w:szCs w:val="18"/>
    </w:rPr>
  </w:style>
  <w:style w:type="character" w:customStyle="1" w:styleId="21">
    <w:name w:val="页脚 Char"/>
    <w:basedOn w:val="9"/>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0854;&#20182;&#24037;&#20316;\&#29615;&#22659;&#36136;&#37327;&#29366;&#20917;\2017&#24180;\&#25968;&#25454;&#32479;&#35745;\&#31354;&#27668;\2017&#29615;&#22659;&#31354;&#27668;&#25968;&#25454;&#32479;&#35745;(&#21435;&#38500;&#27801;&#23576;&#22825;&#2766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854;&#20182;&#24037;&#20316;\&#29615;&#22659;&#36136;&#37327;&#29366;&#20917;\2017&#24180;\&#25968;&#25454;&#32479;&#35745;\&#31354;&#27668;\2017&#29615;&#22659;&#31354;&#27668;&#25968;&#25454;&#32479;&#35745;(&#21435;&#38500;&#27801;&#23576;&#22825;&#2766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854;&#20182;&#24037;&#20316;\&#29615;&#22659;&#36136;&#37327;&#29366;&#20917;\2017&#24180;\&#25968;&#25454;&#32479;&#35745;\&#31354;&#27668;\2017&#29615;&#22659;&#31354;&#27668;&#25968;&#25454;&#32479;&#35745;(&#21435;&#38500;&#27801;&#23576;&#22825;&#2766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4180;&#25253;\2017\&#22320;&#34920;&#27700;\&#22320;&#34920;&#27700;&#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9983;&#24577;\&#36136;&#37327;&#20844;&#25253;\&#22122;&#22768;&#25968;&#25454;\2016&#22122;&#22768;&#29366;&#20917;&#20844;&#2525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9983;&#24577;\&#36136;&#37327;&#20844;&#25253;\&#22122;&#22768;&#25968;&#25454;\2016&#22122;&#22768;&#29366;&#20917;&#20844;&#2525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0854;&#20182;&#24037;&#20316;\&#29615;&#22659;&#36136;&#37327;&#29366;&#20917;\2017&#24180;\&#25968;&#25454;&#32479;&#35745;\2016-2017&#21151;&#33021;&#21306;&#22122;&#2276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000" b="1" i="0" u="none" strike="noStrike" kern="1200" baseline="0">
                <a:solidFill>
                  <a:sysClr val="windowText" lastClr="000000"/>
                </a:solidFill>
                <a:latin typeface="+mn-lt"/>
                <a:ea typeface="+mn-ea"/>
                <a:cs typeface="+mn-cs"/>
              </a:defRPr>
            </a:pPr>
            <a:r>
              <a:rPr lang="zh-CN" altLang="en-US" sz="1000"/>
              <a:t>图</a:t>
            </a:r>
            <a:r>
              <a:rPr lang="en-US" altLang="zh-CN" sz="1000"/>
              <a:t>1    2017</a:t>
            </a:r>
            <a:r>
              <a:rPr lang="zh-CN" altLang="en-US" sz="1000"/>
              <a:t>年全省</a:t>
            </a:r>
            <a:r>
              <a:rPr lang="en-US" altLang="zh-CN" sz="1000"/>
              <a:t>11</a:t>
            </a:r>
            <a:r>
              <a:rPr lang="zh-CN" altLang="en-US" sz="1000"/>
              <a:t>个地级市达标天数</a:t>
            </a:r>
            <a:endParaRPr lang="zh-CN" altLang="en-US" sz="1000"/>
          </a:p>
        </c:rich>
      </c:tx>
      <c:layout>
        <c:manualLayout>
          <c:xMode val="edge"/>
          <c:yMode val="edge"/>
          <c:x val="0.283921617309579"/>
          <c:y val="0.909712596851522"/>
        </c:manualLayout>
      </c:layout>
      <c:overlay val="0"/>
    </c:title>
    <c:autoTitleDeleted val="0"/>
    <c:plotArea>
      <c:layout>
        <c:manualLayout>
          <c:layoutTarget val="inner"/>
          <c:xMode val="edge"/>
          <c:yMode val="edge"/>
          <c:x val="0.119906002235645"/>
          <c:y val="0.0476055682913054"/>
          <c:w val="0.854391838892767"/>
          <c:h val="0.561181676916535"/>
        </c:manualLayout>
      </c:layout>
      <c:barChart>
        <c:barDir val="col"/>
        <c:grouping val="clustered"/>
        <c:varyColors val="0"/>
        <c:ser>
          <c:idx val="0"/>
          <c:order val="0"/>
          <c:tx>
            <c:strRef>
              <c:f>达标天数!$C$30</c:f>
              <c:strCache>
                <c:ptCount val="1"/>
                <c:pt idx="0">
                  <c:v>2017年</c:v>
                </c:pt>
              </c:strCache>
            </c:strRef>
          </c:tx>
          <c:invertIfNegative val="0"/>
          <c:dLbls>
            <c:delete val="1"/>
          </c:dLbls>
          <c:cat>
            <c:strRef>
              <c:f>达标天数!$B$31:$B$41</c:f>
              <c:strCache>
                <c:ptCount val="11"/>
                <c:pt idx="0">
                  <c:v>大同</c:v>
                </c:pt>
                <c:pt idx="1">
                  <c:v>吕梁</c:v>
                </c:pt>
                <c:pt idx="2">
                  <c:v>朔州</c:v>
                </c:pt>
                <c:pt idx="3">
                  <c:v>忻州</c:v>
                </c:pt>
                <c:pt idx="4">
                  <c:v>长治</c:v>
                </c:pt>
                <c:pt idx="5">
                  <c:v>阳泉</c:v>
                </c:pt>
                <c:pt idx="6">
                  <c:v>晋中</c:v>
                </c:pt>
                <c:pt idx="7">
                  <c:v>太原</c:v>
                </c:pt>
                <c:pt idx="8">
                  <c:v>晋城</c:v>
                </c:pt>
                <c:pt idx="9">
                  <c:v>运城</c:v>
                </c:pt>
                <c:pt idx="10">
                  <c:v>临汾</c:v>
                </c:pt>
              </c:strCache>
            </c:strRef>
          </c:cat>
          <c:val>
            <c:numRef>
              <c:f>达标天数!$C$31:$C$41</c:f>
              <c:numCache>
                <c:formatCode>General</c:formatCode>
                <c:ptCount val="11"/>
                <c:pt idx="0">
                  <c:v>301</c:v>
                </c:pt>
                <c:pt idx="1">
                  <c:v>245</c:v>
                </c:pt>
                <c:pt idx="2">
                  <c:v>242</c:v>
                </c:pt>
                <c:pt idx="3">
                  <c:v>213</c:v>
                </c:pt>
                <c:pt idx="4">
                  <c:v>195</c:v>
                </c:pt>
                <c:pt idx="5">
                  <c:v>193</c:v>
                </c:pt>
                <c:pt idx="6">
                  <c:v>183</c:v>
                </c:pt>
                <c:pt idx="7">
                  <c:v>175</c:v>
                </c:pt>
                <c:pt idx="8">
                  <c:v>166</c:v>
                </c:pt>
                <c:pt idx="9">
                  <c:v>161</c:v>
                </c:pt>
                <c:pt idx="10">
                  <c:v>128</c:v>
                </c:pt>
              </c:numCache>
            </c:numRef>
          </c:val>
        </c:ser>
        <c:ser>
          <c:idx val="1"/>
          <c:order val="1"/>
          <c:tx>
            <c:strRef>
              <c:f>达标天数!$D$30</c:f>
              <c:strCache>
                <c:ptCount val="1"/>
                <c:pt idx="0">
                  <c:v>2016年 </c:v>
                </c:pt>
              </c:strCache>
            </c:strRef>
          </c:tx>
          <c:invertIfNegative val="0"/>
          <c:dLbls>
            <c:delete val="1"/>
          </c:dLbls>
          <c:cat>
            <c:strRef>
              <c:f>达标天数!$B$31:$B$41</c:f>
              <c:strCache>
                <c:ptCount val="11"/>
                <c:pt idx="0">
                  <c:v>大同</c:v>
                </c:pt>
                <c:pt idx="1">
                  <c:v>吕梁</c:v>
                </c:pt>
                <c:pt idx="2">
                  <c:v>朔州</c:v>
                </c:pt>
                <c:pt idx="3">
                  <c:v>忻州</c:v>
                </c:pt>
                <c:pt idx="4">
                  <c:v>长治</c:v>
                </c:pt>
                <c:pt idx="5">
                  <c:v>阳泉</c:v>
                </c:pt>
                <c:pt idx="6">
                  <c:v>晋中</c:v>
                </c:pt>
                <c:pt idx="7">
                  <c:v>太原</c:v>
                </c:pt>
                <c:pt idx="8">
                  <c:v>晋城</c:v>
                </c:pt>
                <c:pt idx="9">
                  <c:v>运城</c:v>
                </c:pt>
                <c:pt idx="10">
                  <c:v>临汾</c:v>
                </c:pt>
              </c:strCache>
            </c:strRef>
          </c:cat>
          <c:val>
            <c:numRef>
              <c:f>达标天数!$D$31:$D$41</c:f>
              <c:numCache>
                <c:formatCode>General</c:formatCode>
                <c:ptCount val="11"/>
                <c:pt idx="0">
                  <c:v>320</c:v>
                </c:pt>
                <c:pt idx="1">
                  <c:v>287</c:v>
                </c:pt>
                <c:pt idx="2">
                  <c:v>247</c:v>
                </c:pt>
                <c:pt idx="3">
                  <c:v>269</c:v>
                </c:pt>
                <c:pt idx="4">
                  <c:v>219</c:v>
                </c:pt>
                <c:pt idx="5">
                  <c:v>202</c:v>
                </c:pt>
                <c:pt idx="6">
                  <c:v>226</c:v>
                </c:pt>
                <c:pt idx="7">
                  <c:v>232</c:v>
                </c:pt>
                <c:pt idx="8">
                  <c:v>237</c:v>
                </c:pt>
                <c:pt idx="9">
                  <c:v>252</c:v>
                </c:pt>
                <c:pt idx="10">
                  <c:v>244</c:v>
                </c:pt>
              </c:numCache>
            </c:numRef>
          </c:val>
        </c:ser>
        <c:dLbls>
          <c:showLegendKey val="0"/>
          <c:showVal val="0"/>
          <c:showCatName val="0"/>
          <c:showSerName val="0"/>
          <c:showPercent val="0"/>
          <c:showBubbleSize val="0"/>
        </c:dLbls>
        <c:gapWidth val="114"/>
        <c:axId val="125384960"/>
        <c:axId val="125887232"/>
      </c:barChart>
      <c:catAx>
        <c:axId val="12538496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5887232"/>
        <c:crosses val="autoZero"/>
        <c:auto val="1"/>
        <c:lblAlgn val="ctr"/>
        <c:lblOffset val="100"/>
        <c:noMultiLvlLbl val="0"/>
      </c:catAx>
      <c:valAx>
        <c:axId val="125887232"/>
        <c:scaling>
          <c:orientation val="minMax"/>
          <c:max val="365"/>
        </c:scaling>
        <c:delete val="0"/>
        <c:axPos val="l"/>
        <c:majorGridlines/>
        <c:title>
          <c:tx>
            <c:rich>
              <a:bodyPr rot="0" spcFirstLastPara="0" vertOverflow="ellipsis" vert="wordArtVertRtl"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000" b="1" i="0" u="none" strike="noStrike" kern="1200" baseline="0">
                    <a:solidFill>
                      <a:sysClr val="windowText" lastClr="000000"/>
                    </a:solidFill>
                    <a:latin typeface="+mn-lt"/>
                    <a:ea typeface="+mn-ea"/>
                    <a:cs typeface="+mn-cs"/>
                  </a:defRPr>
                </a:pPr>
                <a:r>
                  <a:rPr lang="zh-CN" altLang="en-US"/>
                  <a:t>达标天数（天）</a:t>
                </a:r>
                <a:endParaRPr lang="en-US" altLang="zh-CN"/>
              </a:p>
            </c:rich>
          </c:tx>
          <c:layout>
            <c:manualLayout>
              <c:xMode val="edge"/>
              <c:yMode val="edge"/>
              <c:x val="0.0204725965065729"/>
              <c:y val="0.112302353570415"/>
            </c:manualLayout>
          </c:layout>
          <c:overlay val="0"/>
        </c:title>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5384960"/>
        <c:crosses val="autoZero"/>
        <c:crossBetween val="between"/>
        <c:majorUnit val="73"/>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spPr>
        <a:noFill/>
      </c:spPr>
    </c:plotArea>
    <c:plotVisOnly val="1"/>
    <c:dispBlanksAs val="gap"/>
    <c:showDLblsOverMax val="0"/>
  </c:chart>
  <c:spPr>
    <a:noFill/>
    <a:ln w="9525" cap="flat" cmpd="sng" algn="ctr">
      <a:noFill/>
      <a:prstDash val="solid"/>
      <a:round/>
    </a:ln>
  </c:spPr>
  <c:txPr>
    <a:bodyPr/>
    <a:lstStyle/>
    <a:p>
      <a:pPr>
        <a:defRPr lang="zh-CN" sz="10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000" b="1" i="0" u="none" strike="noStrike" kern="1200" baseline="0">
                <a:solidFill>
                  <a:sysClr val="windowText" lastClr="000000"/>
                </a:solidFill>
                <a:latin typeface="+mn-lt"/>
                <a:ea typeface="+mn-ea"/>
                <a:cs typeface="+mn-cs"/>
              </a:defRPr>
            </a:pPr>
            <a:r>
              <a:rPr lang="zh-CN" altLang="en-US" sz="1000"/>
              <a:t>图</a:t>
            </a:r>
            <a:r>
              <a:rPr lang="en-US" altLang="zh-CN" sz="1000"/>
              <a:t>2     2017</a:t>
            </a:r>
            <a:r>
              <a:rPr lang="zh-CN" altLang="en-US" sz="1000"/>
              <a:t>年全省</a:t>
            </a:r>
            <a:r>
              <a:rPr lang="en-US" altLang="zh-CN" sz="1000"/>
              <a:t>11</a:t>
            </a:r>
            <a:r>
              <a:rPr lang="zh-CN" altLang="en-US" sz="1000"/>
              <a:t>个地级市重污染天数</a:t>
            </a:r>
            <a:endParaRPr lang="zh-CN" altLang="en-US" sz="1000"/>
          </a:p>
        </c:rich>
      </c:tx>
      <c:layout>
        <c:manualLayout>
          <c:xMode val="edge"/>
          <c:yMode val="edge"/>
          <c:x val="0.27430838162502"/>
          <c:y val="0.909712534255189"/>
        </c:manualLayout>
      </c:layout>
      <c:overlay val="0"/>
    </c:title>
    <c:autoTitleDeleted val="0"/>
    <c:plotArea>
      <c:layout>
        <c:manualLayout>
          <c:layoutTarget val="inner"/>
          <c:xMode val="edge"/>
          <c:yMode val="edge"/>
          <c:x val="0.119906002235645"/>
          <c:y val="0.0476055682913054"/>
          <c:w val="0.854391838892767"/>
          <c:h val="0.561181676916535"/>
        </c:manualLayout>
      </c:layout>
      <c:barChart>
        <c:barDir val="col"/>
        <c:grouping val="clustered"/>
        <c:varyColors val="0"/>
        <c:ser>
          <c:idx val="0"/>
          <c:order val="0"/>
          <c:tx>
            <c:strRef>
              <c:f>重污染天数!$B$31</c:f>
              <c:strCache>
                <c:ptCount val="1"/>
                <c:pt idx="0">
                  <c:v>2017</c:v>
                </c:pt>
              </c:strCache>
            </c:strRef>
          </c:tx>
          <c:invertIfNegative val="0"/>
          <c:dLbls>
            <c:delete val="1"/>
          </c:dLbls>
          <c:cat>
            <c:strRef>
              <c:f>重污染天数!$A$32:$A$42</c:f>
              <c:strCache>
                <c:ptCount val="11"/>
                <c:pt idx="0">
                  <c:v>临汾</c:v>
                </c:pt>
                <c:pt idx="1">
                  <c:v>运城</c:v>
                </c:pt>
                <c:pt idx="2">
                  <c:v>太原</c:v>
                </c:pt>
                <c:pt idx="3">
                  <c:v>晋城</c:v>
                </c:pt>
                <c:pt idx="4">
                  <c:v>忻州</c:v>
                </c:pt>
                <c:pt idx="5">
                  <c:v>阳泉</c:v>
                </c:pt>
                <c:pt idx="6">
                  <c:v>晋中</c:v>
                </c:pt>
                <c:pt idx="7">
                  <c:v>朔州</c:v>
                </c:pt>
                <c:pt idx="8">
                  <c:v>长治</c:v>
                </c:pt>
                <c:pt idx="9">
                  <c:v>吕梁</c:v>
                </c:pt>
                <c:pt idx="10">
                  <c:v>大同</c:v>
                </c:pt>
              </c:strCache>
            </c:strRef>
          </c:cat>
          <c:val>
            <c:numRef>
              <c:f>重污染天数!$B$32:$B$42</c:f>
              <c:numCache>
                <c:formatCode>General</c:formatCode>
                <c:ptCount val="11"/>
                <c:pt idx="0">
                  <c:v>35</c:v>
                </c:pt>
                <c:pt idx="1">
                  <c:v>21</c:v>
                </c:pt>
                <c:pt idx="2">
                  <c:v>16</c:v>
                </c:pt>
                <c:pt idx="3">
                  <c:v>16</c:v>
                </c:pt>
                <c:pt idx="4">
                  <c:v>14</c:v>
                </c:pt>
                <c:pt idx="5">
                  <c:v>12</c:v>
                </c:pt>
                <c:pt idx="6">
                  <c:v>10</c:v>
                </c:pt>
                <c:pt idx="7">
                  <c:v>8</c:v>
                </c:pt>
                <c:pt idx="8">
                  <c:v>7</c:v>
                </c:pt>
                <c:pt idx="9">
                  <c:v>2</c:v>
                </c:pt>
                <c:pt idx="10">
                  <c:v>0</c:v>
                </c:pt>
              </c:numCache>
            </c:numRef>
          </c:val>
        </c:ser>
        <c:ser>
          <c:idx val="1"/>
          <c:order val="1"/>
          <c:tx>
            <c:strRef>
              <c:f>重污染天数!$C$31</c:f>
              <c:strCache>
                <c:ptCount val="1"/>
                <c:pt idx="0">
                  <c:v>2016</c:v>
                </c:pt>
              </c:strCache>
            </c:strRef>
          </c:tx>
          <c:invertIfNegative val="0"/>
          <c:dLbls>
            <c:delete val="1"/>
          </c:dLbls>
          <c:cat>
            <c:strRef>
              <c:f>重污染天数!$A$32:$A$42</c:f>
              <c:strCache>
                <c:ptCount val="11"/>
                <c:pt idx="0">
                  <c:v>临汾</c:v>
                </c:pt>
                <c:pt idx="1">
                  <c:v>运城</c:v>
                </c:pt>
                <c:pt idx="2">
                  <c:v>太原</c:v>
                </c:pt>
                <c:pt idx="3">
                  <c:v>晋城</c:v>
                </c:pt>
                <c:pt idx="4">
                  <c:v>忻州</c:v>
                </c:pt>
                <c:pt idx="5">
                  <c:v>阳泉</c:v>
                </c:pt>
                <c:pt idx="6">
                  <c:v>晋中</c:v>
                </c:pt>
                <c:pt idx="7">
                  <c:v>朔州</c:v>
                </c:pt>
                <c:pt idx="8">
                  <c:v>长治</c:v>
                </c:pt>
                <c:pt idx="9">
                  <c:v>吕梁</c:v>
                </c:pt>
                <c:pt idx="10">
                  <c:v>大同</c:v>
                </c:pt>
              </c:strCache>
            </c:strRef>
          </c:cat>
          <c:val>
            <c:numRef>
              <c:f>重污染天数!$C$32:$C$42</c:f>
              <c:numCache>
                <c:formatCode>General</c:formatCode>
                <c:ptCount val="11"/>
                <c:pt idx="0">
                  <c:v>49</c:v>
                </c:pt>
                <c:pt idx="1">
                  <c:v>30</c:v>
                </c:pt>
                <c:pt idx="2">
                  <c:v>26</c:v>
                </c:pt>
                <c:pt idx="3">
                  <c:v>26</c:v>
                </c:pt>
                <c:pt idx="4">
                  <c:v>17</c:v>
                </c:pt>
                <c:pt idx="5">
                  <c:v>14</c:v>
                </c:pt>
                <c:pt idx="6">
                  <c:v>17</c:v>
                </c:pt>
                <c:pt idx="7">
                  <c:v>17</c:v>
                </c:pt>
                <c:pt idx="8">
                  <c:v>24</c:v>
                </c:pt>
                <c:pt idx="9">
                  <c:v>5</c:v>
                </c:pt>
                <c:pt idx="10">
                  <c:v>2</c:v>
                </c:pt>
              </c:numCache>
            </c:numRef>
          </c:val>
        </c:ser>
        <c:dLbls>
          <c:showLegendKey val="0"/>
          <c:showVal val="0"/>
          <c:showCatName val="0"/>
          <c:showSerName val="0"/>
          <c:showPercent val="0"/>
          <c:showBubbleSize val="0"/>
        </c:dLbls>
        <c:gapWidth val="114"/>
        <c:axId val="143719808"/>
        <c:axId val="143958016"/>
      </c:barChart>
      <c:catAx>
        <c:axId val="14371980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958016"/>
        <c:crosses val="autoZero"/>
        <c:auto val="1"/>
        <c:lblAlgn val="ctr"/>
        <c:lblOffset val="100"/>
        <c:noMultiLvlLbl val="0"/>
      </c:catAx>
      <c:valAx>
        <c:axId val="143958016"/>
        <c:scaling>
          <c:orientation val="minMax"/>
        </c:scaling>
        <c:delete val="0"/>
        <c:axPos val="l"/>
        <c:majorGridlines/>
        <c:title>
          <c:tx>
            <c:rich>
              <a:bodyPr rot="0" spcFirstLastPara="0" vertOverflow="ellipsis" vert="wordArtVertRtl"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000" b="1" i="0" u="none" strike="noStrike" kern="1200" baseline="0">
                    <a:solidFill>
                      <a:sysClr val="windowText" lastClr="000000"/>
                    </a:solidFill>
                    <a:latin typeface="+mn-lt"/>
                    <a:ea typeface="+mn-ea"/>
                    <a:cs typeface="+mn-cs"/>
                  </a:defRPr>
                </a:pPr>
                <a:r>
                  <a:rPr lang="zh-CN" altLang="en-US"/>
                  <a:t>重污染天数（天）</a:t>
                </a:r>
                <a:endParaRPr lang="en-US" altLang="zh-CN"/>
              </a:p>
            </c:rich>
          </c:tx>
          <c:layout>
            <c:manualLayout>
              <c:xMode val="edge"/>
              <c:yMode val="edge"/>
              <c:x val="0.0324891411122705"/>
              <c:y val="0.0809974626404841"/>
            </c:manualLayout>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719808"/>
        <c:crosses val="autoZero"/>
        <c:crossBetween val="between"/>
        <c:majorUnit val="20"/>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spPr>
        <a:noFill/>
      </c:spPr>
    </c:plotArea>
    <c:plotVisOnly val="1"/>
    <c:dispBlanksAs val="gap"/>
    <c:showDLblsOverMax val="0"/>
  </c:chart>
  <c:spPr>
    <a:noFill/>
    <a:ln w="9525" cap="flat" cmpd="sng" algn="ctr">
      <a:noFill/>
      <a:prstDash val="solid"/>
      <a:round/>
    </a:ln>
  </c:spPr>
  <c:txPr>
    <a:bodyPr/>
    <a:lstStyle/>
    <a:p>
      <a:pPr>
        <a:defRPr lang="zh-CN" sz="10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33588220245033"/>
          <c:y val="0.0749786534193956"/>
          <c:w val="0.842456757338009"/>
          <c:h val="0.641226887479327"/>
        </c:manualLayout>
      </c:layout>
      <c:barChart>
        <c:barDir val="col"/>
        <c:grouping val="clustered"/>
        <c:varyColors val="0"/>
        <c:ser>
          <c:idx val="0"/>
          <c:order val="0"/>
          <c:tx>
            <c:strRef>
              <c:f>重污染天数!$B$50</c:f>
              <c:strCache>
                <c:ptCount val="1"/>
                <c:pt idx="0">
                  <c:v>2017年</c:v>
                </c:pt>
              </c:strCache>
            </c:strRef>
          </c:tx>
          <c:spPr>
            <a:effectLst/>
          </c:spPr>
          <c:invertIfNegative val="0"/>
          <c:dPt>
            <c:idx val="5"/>
            <c:invertIfNegative val="0"/>
            <c:bubble3D val="0"/>
            <c:spPr>
              <a:solidFill>
                <a:schemeClr val="accent1"/>
              </a:solidFill>
              <a:effectLst/>
            </c:spPr>
          </c:dPt>
          <c:dLbls>
            <c:delete val="1"/>
          </c:dLbls>
          <c:cat>
            <c:strRef>
              <c:f>重污染天数!$A$51:$A$61</c:f>
              <c:strCache>
                <c:ptCount val="11"/>
                <c:pt idx="0">
                  <c:v>临汾</c:v>
                </c:pt>
                <c:pt idx="1">
                  <c:v>晋城</c:v>
                </c:pt>
                <c:pt idx="2">
                  <c:v>太原</c:v>
                </c:pt>
                <c:pt idx="3">
                  <c:v>晋中</c:v>
                </c:pt>
                <c:pt idx="4">
                  <c:v>运城</c:v>
                </c:pt>
                <c:pt idx="5">
                  <c:v>阳泉</c:v>
                </c:pt>
                <c:pt idx="6">
                  <c:v>吕梁</c:v>
                </c:pt>
                <c:pt idx="7">
                  <c:v>长治</c:v>
                </c:pt>
                <c:pt idx="8">
                  <c:v>忻州</c:v>
                </c:pt>
                <c:pt idx="9">
                  <c:v>朔州</c:v>
                </c:pt>
                <c:pt idx="10">
                  <c:v>大同</c:v>
                </c:pt>
              </c:strCache>
            </c:strRef>
          </c:cat>
          <c:val>
            <c:numRef>
              <c:f>重污染天数!$B$51:$B$61</c:f>
              <c:numCache>
                <c:formatCode>General</c:formatCode>
                <c:ptCount val="11"/>
                <c:pt idx="0">
                  <c:v>8.6</c:v>
                </c:pt>
                <c:pt idx="1">
                  <c:v>7.78</c:v>
                </c:pt>
                <c:pt idx="2">
                  <c:v>7.76</c:v>
                </c:pt>
                <c:pt idx="3">
                  <c:v>7.68</c:v>
                </c:pt>
                <c:pt idx="4">
                  <c:v>7.64</c:v>
                </c:pt>
                <c:pt idx="5">
                  <c:v>7.28</c:v>
                </c:pt>
                <c:pt idx="6">
                  <c:v>7.04</c:v>
                </c:pt>
                <c:pt idx="7">
                  <c:v>6.88</c:v>
                </c:pt>
                <c:pt idx="8">
                  <c:v>6.85</c:v>
                </c:pt>
                <c:pt idx="9">
                  <c:v>5.9</c:v>
                </c:pt>
                <c:pt idx="10">
                  <c:v>5.31</c:v>
                </c:pt>
              </c:numCache>
            </c:numRef>
          </c:val>
        </c:ser>
        <c:ser>
          <c:idx val="1"/>
          <c:order val="1"/>
          <c:tx>
            <c:strRef>
              <c:f>重污染天数!$C$50</c:f>
              <c:strCache>
                <c:ptCount val="1"/>
                <c:pt idx="0">
                  <c:v>2016年</c:v>
                </c:pt>
              </c:strCache>
            </c:strRef>
          </c:tx>
          <c:spPr>
            <a:effectLst/>
          </c:spPr>
          <c:invertIfNegative val="0"/>
          <c:dPt>
            <c:idx val="5"/>
            <c:invertIfNegative val="0"/>
            <c:bubble3D val="0"/>
            <c:spPr>
              <a:solidFill>
                <a:srgbClr val="FF7C80"/>
              </a:solidFill>
              <a:effectLst/>
            </c:spPr>
          </c:dPt>
          <c:dPt>
            <c:idx val="7"/>
            <c:invertIfNegative val="0"/>
            <c:bubble3D val="0"/>
            <c:spPr>
              <a:solidFill>
                <a:srgbClr val="FF7C80"/>
              </a:solidFill>
              <a:effectLst/>
            </c:spPr>
          </c:dPt>
          <c:dPt>
            <c:idx val="9"/>
            <c:invertIfNegative val="0"/>
            <c:bubble3D val="0"/>
            <c:spPr>
              <a:solidFill>
                <a:srgbClr val="FF7C80"/>
              </a:solidFill>
              <a:effectLst/>
            </c:spPr>
          </c:dPt>
          <c:dLbls>
            <c:delete val="1"/>
          </c:dLbls>
          <c:cat>
            <c:strRef>
              <c:f>重污染天数!$A$51:$A$61</c:f>
              <c:strCache>
                <c:ptCount val="11"/>
                <c:pt idx="0">
                  <c:v>临汾</c:v>
                </c:pt>
                <c:pt idx="1">
                  <c:v>晋城</c:v>
                </c:pt>
                <c:pt idx="2">
                  <c:v>太原</c:v>
                </c:pt>
                <c:pt idx="3">
                  <c:v>晋中</c:v>
                </c:pt>
                <c:pt idx="4">
                  <c:v>运城</c:v>
                </c:pt>
                <c:pt idx="5">
                  <c:v>阳泉</c:v>
                </c:pt>
                <c:pt idx="6">
                  <c:v>吕梁</c:v>
                </c:pt>
                <c:pt idx="7">
                  <c:v>长治</c:v>
                </c:pt>
                <c:pt idx="8">
                  <c:v>忻州</c:v>
                </c:pt>
                <c:pt idx="9">
                  <c:v>朔州</c:v>
                </c:pt>
                <c:pt idx="10">
                  <c:v>大同</c:v>
                </c:pt>
              </c:strCache>
            </c:strRef>
          </c:cat>
          <c:val>
            <c:numRef>
              <c:f>重污染天数!$C$51:$C$61</c:f>
              <c:numCache>
                <c:formatCode>General</c:formatCode>
                <c:ptCount val="11"/>
                <c:pt idx="0">
                  <c:v>8.15</c:v>
                </c:pt>
                <c:pt idx="1">
                  <c:v>7.35</c:v>
                </c:pt>
                <c:pt idx="2">
                  <c:v>7.66</c:v>
                </c:pt>
                <c:pt idx="3">
                  <c:v>7.37</c:v>
                </c:pt>
                <c:pt idx="4">
                  <c:v>7.11</c:v>
                </c:pt>
                <c:pt idx="5">
                  <c:v>7.63</c:v>
                </c:pt>
                <c:pt idx="6">
                  <c:v>5.89</c:v>
                </c:pt>
                <c:pt idx="7">
                  <c:v>7.51</c:v>
                </c:pt>
                <c:pt idx="8">
                  <c:v>6.61</c:v>
                </c:pt>
                <c:pt idx="9">
                  <c:v>6.46</c:v>
                </c:pt>
                <c:pt idx="10">
                  <c:v>5.21</c:v>
                </c:pt>
              </c:numCache>
            </c:numRef>
          </c:val>
        </c:ser>
        <c:dLbls>
          <c:showLegendKey val="0"/>
          <c:showVal val="0"/>
          <c:showCatName val="0"/>
          <c:showSerName val="0"/>
          <c:showPercent val="0"/>
          <c:showBubbleSize val="0"/>
        </c:dLbls>
        <c:gapWidth val="116"/>
        <c:axId val="148003072"/>
        <c:axId val="148650624"/>
      </c:barChart>
      <c:catAx>
        <c:axId val="148003072"/>
        <c:scaling>
          <c:orientation val="minMax"/>
        </c:scaling>
        <c:delete val="0"/>
        <c:axPos val="b"/>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000" b="1" i="0" u="none" strike="noStrike" kern="1200" baseline="0">
                    <a:solidFill>
                      <a:sysClr val="windowText" lastClr="000000"/>
                    </a:solidFill>
                    <a:latin typeface="+mn-lt"/>
                    <a:ea typeface="+mn-ea"/>
                    <a:cs typeface="+mn-cs"/>
                  </a:defRPr>
                </a:pPr>
                <a:r>
                  <a:rPr lang="zh-CN" altLang="en-US"/>
                  <a:t>图</a:t>
                </a:r>
                <a:r>
                  <a:rPr lang="en-US" altLang="zh-CN"/>
                  <a:t>3    2017</a:t>
                </a:r>
                <a:r>
                  <a:rPr lang="zh-CN" altLang="en-US"/>
                  <a:t>年全省</a:t>
                </a:r>
                <a:r>
                  <a:rPr lang="en-US" altLang="zh-CN"/>
                  <a:t>11</a:t>
                </a:r>
                <a:r>
                  <a:rPr lang="zh-CN" altLang="en-US"/>
                  <a:t>个地级市环境空气质量综合指数</a:t>
                </a:r>
                <a:endParaRPr lang="zh-CN" altLang="en-US"/>
              </a:p>
            </c:rich>
          </c:tx>
          <c:layout>
            <c:manualLayout>
              <c:xMode val="edge"/>
              <c:yMode val="edge"/>
              <c:x val="0.269266563634836"/>
              <c:y val="0.870945291114846"/>
            </c:manualLayout>
          </c:layout>
          <c:overlay val="0"/>
        </c:title>
        <c:numFmt formatCode="General" sourceLinked="1"/>
        <c:majorTickMark val="in"/>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8650624"/>
        <c:crosses val="autoZero"/>
        <c:auto val="1"/>
        <c:lblAlgn val="ctr"/>
        <c:lblOffset val="100"/>
        <c:noMultiLvlLbl val="0"/>
      </c:catAx>
      <c:valAx>
        <c:axId val="148650624"/>
        <c:scaling>
          <c:orientation val="minMax"/>
          <c:max val="10"/>
        </c:scaling>
        <c:delete val="0"/>
        <c:axPos val="l"/>
        <c:majorGridlines/>
        <c:title>
          <c:tx>
            <c:rich>
              <a:bodyPr rot="0" spcFirstLastPara="0" vertOverflow="ellipsis" vert="wordArtVertRtl" wrap="square" anchor="ctr" anchorCtr="1"/>
              <a:lstStyle/>
              <a:p>
                <a:pPr>
                  <a:defRPr lang="zh-CN" sz="900" b="1" i="0" u="none" strike="noStrike" kern="1200" baseline="0">
                    <a:solidFill>
                      <a:schemeClr val="tx1"/>
                    </a:solidFill>
                    <a:latin typeface="+mn-lt"/>
                    <a:ea typeface="+mn-ea"/>
                    <a:cs typeface="+mn-cs"/>
                  </a:defRPr>
                </a:pPr>
                <a:r>
                  <a:rPr lang="zh-CN" sz="900"/>
                  <a:t>综合指数</a:t>
                </a:r>
                <a:endParaRPr lang="zh-CN" sz="900"/>
              </a:p>
            </c:rich>
          </c:tx>
          <c:layout>
            <c:manualLayout>
              <c:xMode val="edge"/>
              <c:yMode val="edge"/>
              <c:x val="0.0288692305982919"/>
              <c:y val="0.246728560840638"/>
            </c:manualLayout>
          </c:layout>
          <c:overlay val="0"/>
        </c:title>
        <c:numFmt formatCode="#,##0.00;[Red]\-#,##0.00"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8003072"/>
        <c:crosses val="autoZero"/>
        <c:crossBetween val="between"/>
        <c:majorUnit val="2"/>
      </c:valAx>
      <c:spPr>
        <a:noFill/>
        <a:ln>
          <a:noFill/>
        </a:ln>
        <a:effectLst/>
      </c:spPr>
    </c:plotArea>
    <c:legend>
      <c:legendPos val="t"/>
      <c:layout>
        <c:manualLayout>
          <c:xMode val="edge"/>
          <c:yMode val="edge"/>
          <c:x val="0.387341450599272"/>
          <c:y val="0.0977272639828907"/>
          <c:w val="0.225317098801478"/>
          <c:h val="0.098177425002021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zh-CN" altLang="en-US" sz="1000" b="1">
                <a:latin typeface="Times New Roman" panose="02020603050405020304" charset="0"/>
                <a:ea typeface="+mn-ea"/>
                <a:cs typeface="Times New Roman" panose="02020603050405020304" charset="0"/>
              </a:rPr>
              <a:t>图</a:t>
            </a:r>
            <a:r>
              <a:rPr lang="en-US" altLang="zh-CN" sz="1000" b="1">
                <a:latin typeface="Times New Roman" panose="02020603050405020304" charset="0"/>
                <a:ea typeface="+mn-ea"/>
                <a:cs typeface="Times New Roman" panose="02020603050405020304" charset="0"/>
              </a:rPr>
              <a:t>4    2017</a:t>
            </a:r>
            <a:r>
              <a:rPr lang="zh-CN" altLang="en-US" sz="1000" b="1">
                <a:latin typeface="Times New Roman" panose="02020603050405020304" charset="0"/>
                <a:ea typeface="+mn-ea"/>
                <a:cs typeface="Times New Roman" panose="02020603050405020304" charset="0"/>
              </a:rPr>
              <a:t>年全省地表水水质类别比例</a:t>
            </a:r>
            <a:endParaRPr lang="zh-CN" altLang="en-US" sz="1000" b="1">
              <a:latin typeface="Times New Roman" panose="02020603050405020304" charset="0"/>
              <a:ea typeface="+mn-ea"/>
              <a:cs typeface="Times New Roman" panose="02020603050405020304" charset="0"/>
            </a:endParaRPr>
          </a:p>
        </c:rich>
      </c:tx>
      <c:layout>
        <c:manualLayout>
          <c:xMode val="edge"/>
          <c:yMode val="edge"/>
          <c:x val="0.225270833333333"/>
          <c:y val="0.864536343811746"/>
        </c:manualLayout>
      </c:layout>
      <c:overlay val="0"/>
    </c:title>
    <c:autoTitleDeleted val="0"/>
    <c:plotArea>
      <c:layout>
        <c:manualLayout>
          <c:layoutTarget val="inner"/>
          <c:xMode val="edge"/>
          <c:yMode val="edge"/>
          <c:x val="0.120288888888889"/>
          <c:y val="0.0509259323577805"/>
          <c:w val="0.79170965698256"/>
          <c:h val="0.833396772922385"/>
        </c:manualLayout>
      </c:layout>
      <c:pieChart>
        <c:varyColors val="1"/>
        <c:ser>
          <c:idx val="0"/>
          <c:order val="0"/>
          <c:spPr>
            <a:effectLst/>
            <a:scene3d>
              <a:camera prst="orthographicFront"/>
              <a:lightRig rig="threePt" dir="t"/>
            </a:scene3d>
            <a:sp3d>
              <a:bevelT/>
              <a:bevelB/>
            </a:sp3d>
          </c:spPr>
          <c:explosion val="15"/>
          <c:dPt>
            <c:idx val="0"/>
            <c:bubble3D val="0"/>
            <c:spPr>
              <a:solidFill>
                <a:srgbClr val="8EB4E3"/>
              </a:solidFill>
              <a:effectLst/>
              <a:scene3d>
                <a:camera prst="orthographicFront"/>
                <a:lightRig rig="threePt" dir="t"/>
              </a:scene3d>
              <a:sp3d>
                <a:bevelT/>
                <a:bevelB/>
              </a:sp3d>
            </c:spPr>
          </c:dPt>
          <c:dPt>
            <c:idx val="1"/>
            <c:bubble3D val="0"/>
            <c:spPr>
              <a:solidFill>
                <a:srgbClr val="4A7EBB"/>
              </a:solidFill>
              <a:effectLst/>
              <a:scene3d>
                <a:camera prst="orthographicFront"/>
                <a:lightRig rig="threePt" dir="t"/>
              </a:scene3d>
              <a:sp3d>
                <a:bevelT/>
                <a:bevelB/>
              </a:sp3d>
            </c:spPr>
          </c:dPt>
          <c:dPt>
            <c:idx val="2"/>
            <c:bubble3D val="0"/>
            <c:spPr>
              <a:solidFill>
                <a:srgbClr val="98B954"/>
              </a:solidFill>
              <a:effectLst/>
              <a:scene3d>
                <a:camera prst="orthographicFront"/>
                <a:lightRig rig="threePt" dir="t"/>
              </a:scene3d>
              <a:sp3d>
                <a:bevelT/>
                <a:bevelB/>
              </a:sp3d>
            </c:spPr>
          </c:dPt>
          <c:dPt>
            <c:idx val="3"/>
            <c:bubble3D val="0"/>
            <c:spPr>
              <a:solidFill>
                <a:srgbClr val="FFFF8C"/>
              </a:solidFill>
              <a:effectLst/>
              <a:scene3d>
                <a:camera prst="orthographicFront"/>
                <a:lightRig rig="threePt" dir="t"/>
              </a:scene3d>
              <a:sp3d>
                <a:bevelT/>
                <a:bevelB/>
              </a:sp3d>
            </c:spPr>
          </c:dPt>
          <c:dPt>
            <c:idx val="4"/>
            <c:bubble3D val="0"/>
            <c:spPr>
              <a:solidFill>
                <a:srgbClr val="F79646"/>
              </a:solidFill>
              <a:effectLst/>
              <a:scene3d>
                <a:camera prst="orthographicFront"/>
                <a:lightRig rig="threePt" dir="t"/>
              </a:scene3d>
              <a:sp3d>
                <a:bevelT/>
                <a:bevelB/>
              </a:sp3d>
            </c:spPr>
          </c:dPt>
          <c:dPt>
            <c:idx val="5"/>
            <c:bubble3D val="0"/>
            <c:spPr>
              <a:solidFill>
                <a:srgbClr val="BE4B48"/>
              </a:solidFill>
              <a:effectLst/>
              <a:scene3d>
                <a:camera prst="orthographicFront"/>
                <a:lightRig rig="threePt" dir="t"/>
              </a:scene3d>
              <a:sp3d>
                <a:bevelT/>
                <a:bevelB/>
              </a:sp3d>
            </c:spPr>
          </c:dPt>
          <c:dLbls>
            <c:dLbl>
              <c:idx val="0"/>
              <c:delete val="1"/>
            </c:dLbl>
            <c:dLbl>
              <c:idx val="1"/>
              <c:layout>
                <c:manualLayout>
                  <c:x val="-0.0689655172413793"/>
                  <c:y val="-0.10319639650350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j-ea"/>
                        <a:cs typeface="Times New Roman" panose="02020603050405020304" charset="0"/>
                      </a:defRPr>
                    </a:pPr>
                    <a:r>
                      <a:rPr lang="en-US" altLang="zh-CN" sz="1000">
                        <a:latin typeface="Times New Roman" panose="02020603050405020304" charset="0"/>
                        <a:ea typeface="+mj-ea"/>
                        <a:cs typeface="Times New Roman" panose="02020603050405020304" charset="0"/>
                      </a:rPr>
                      <a:t>Ⅱ</a:t>
                    </a:r>
                    <a:r>
                      <a:rPr lang="zh-CN" altLang="en-US" sz="1000">
                        <a:latin typeface="Times New Roman" panose="02020603050405020304" charset="0"/>
                        <a:ea typeface="+mj-ea"/>
                        <a:cs typeface="Times New Roman" panose="02020603050405020304" charset="0"/>
                      </a:rPr>
                      <a:t>类
</a:t>
                    </a:r>
                    <a:r>
                      <a:rPr lang="en-US" altLang="zh-CN" sz="1000">
                        <a:latin typeface="Times New Roman" panose="02020603050405020304" charset="0"/>
                        <a:ea typeface="+mj-ea"/>
                        <a:cs typeface="Times New Roman" panose="02020603050405020304" charset="0"/>
                      </a:rPr>
                      <a:t>38.0%</a:t>
                    </a:r>
                    <a:endParaRPr lang="en-US" altLang="zh-CN" sz="1000">
                      <a:latin typeface="Times New Roman" panose="02020603050405020304" charset="0"/>
                      <a:ea typeface="+mj-ea"/>
                      <a:cs typeface="Times New Roman" panose="02020603050405020304" charset="0"/>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
                  <c:y val="0.033333333333333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j-ea"/>
                        <a:cs typeface="Times New Roman" panose="02020603050405020304" charset="0"/>
                      </a:defRPr>
                    </a:pPr>
                    <a:r>
                      <a:rPr lang="en-US" altLang="zh-CN" sz="1000">
                        <a:latin typeface="Times New Roman" panose="02020603050405020304" charset="0"/>
                        <a:ea typeface="+mj-ea"/>
                        <a:cs typeface="Times New Roman" panose="02020603050405020304" charset="0"/>
                      </a:rPr>
                      <a:t>Ⅲ</a:t>
                    </a:r>
                    <a:r>
                      <a:rPr lang="zh-CN" altLang="en-US" sz="1000">
                        <a:latin typeface="Times New Roman" panose="02020603050405020304" charset="0"/>
                        <a:ea typeface="+mj-ea"/>
                        <a:cs typeface="Times New Roman" panose="02020603050405020304" charset="0"/>
                      </a:rPr>
                      <a:t>类
</a:t>
                    </a:r>
                    <a:r>
                      <a:rPr lang="en-US" altLang="zh-CN" sz="1000">
                        <a:latin typeface="Times New Roman" panose="02020603050405020304" charset="0"/>
                        <a:ea typeface="+mj-ea"/>
                        <a:cs typeface="Times New Roman" panose="02020603050405020304" charset="0"/>
                      </a:rPr>
                      <a:t>18.0%</a:t>
                    </a:r>
                    <a:endParaRPr lang="en-US" altLang="zh-CN" sz="1000">
                      <a:latin typeface="Times New Roman" panose="02020603050405020304" charset="0"/>
                      <a:ea typeface="+mj-ea"/>
                      <a:cs typeface="Times New Roman" panose="02020603050405020304" charset="0"/>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92611111111111"/>
                  <c:y val="0.079430265292390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j-ea"/>
                        <a:cs typeface="Times New Roman" panose="02020603050405020304" charset="0"/>
                      </a:defRPr>
                    </a:pPr>
                    <a:r>
                      <a:rPr lang="en-US" altLang="zh-CN" sz="1000">
                        <a:latin typeface="Times New Roman" panose="02020603050405020304" charset="0"/>
                        <a:ea typeface="+mj-ea"/>
                        <a:cs typeface="Times New Roman" panose="02020603050405020304" charset="0"/>
                      </a:rPr>
                      <a:t>Ⅳ</a:t>
                    </a:r>
                    <a:r>
                      <a:rPr lang="zh-CN" altLang="en-US" sz="1000">
                        <a:latin typeface="Times New Roman" panose="02020603050405020304" charset="0"/>
                        <a:ea typeface="+mj-ea"/>
                        <a:cs typeface="Times New Roman" panose="02020603050405020304" charset="0"/>
                      </a:rPr>
                      <a:t>类
</a:t>
                    </a:r>
                    <a:r>
                      <a:rPr lang="en-US" altLang="zh-CN" sz="1000">
                        <a:latin typeface="Times New Roman" panose="02020603050405020304" charset="0"/>
                        <a:ea typeface="+mj-ea"/>
                        <a:cs typeface="Times New Roman" panose="02020603050405020304" charset="0"/>
                      </a:rPr>
                      <a:t>14.0%</a:t>
                    </a:r>
                    <a:endParaRPr lang="en-US" altLang="zh-CN" sz="1000">
                      <a:latin typeface="Times New Roman" panose="02020603050405020304" charset="0"/>
                      <a:ea typeface="+mj-ea"/>
                      <a:cs typeface="Times New Roman" panose="02020603050405020304" charset="0"/>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0352777777777783"/>
                  <c:y val="-0.0352877269563502"/>
                </c:manualLayout>
              </c:layout>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
                  <c:y val="-0.074176469198954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j-ea"/>
                        <a:cs typeface="Times New Roman" panose="02020603050405020304" charset="0"/>
                      </a:defRPr>
                    </a:pPr>
                    <a:r>
                      <a:rPr lang="zh-CN" altLang="en-US" sz="1000">
                        <a:latin typeface="Times New Roman" panose="02020603050405020304" charset="0"/>
                        <a:ea typeface="+mj-ea"/>
                        <a:cs typeface="Times New Roman" panose="02020603050405020304" charset="0"/>
                      </a:rPr>
                      <a:t>劣</a:t>
                    </a:r>
                    <a:r>
                      <a:rPr lang="en-US" altLang="zh-CN" sz="1000">
                        <a:latin typeface="Times New Roman" panose="02020603050405020304" charset="0"/>
                        <a:ea typeface="+mj-ea"/>
                        <a:cs typeface="Times New Roman" panose="02020603050405020304" charset="0"/>
                      </a:rPr>
                      <a:t>Ⅴ</a:t>
                    </a:r>
                    <a:r>
                      <a:rPr lang="zh-CN" altLang="en-US" sz="1000">
                        <a:latin typeface="Times New Roman" panose="02020603050405020304" charset="0"/>
                        <a:ea typeface="+mj-ea"/>
                        <a:cs typeface="Times New Roman" panose="02020603050405020304" charset="0"/>
                      </a:rPr>
                      <a:t>类
</a:t>
                    </a:r>
                    <a:r>
                      <a:rPr lang="en-US" altLang="zh-CN" sz="1000">
                        <a:latin typeface="Times New Roman" panose="02020603050405020304" charset="0"/>
                        <a:ea typeface="+mj-ea"/>
                        <a:cs typeface="Times New Roman" panose="02020603050405020304" charset="0"/>
                      </a:rPr>
                      <a:t>23.0%</a:t>
                    </a:r>
                    <a:endParaRPr lang="zh-CN" altLang="en-US" sz="1000">
                      <a:latin typeface="Times New Roman" panose="02020603050405020304" charset="0"/>
                      <a:ea typeface="+mj-ea"/>
                      <a:cs typeface="Times New Roman" panose="02020603050405020304" charset="0"/>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j-ea"/>
                    <a:cs typeface="Times New Roman" panose="02020603050405020304" charset="0"/>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全省地表水水质类别比例图!$A$1:$A$6</c:f>
              <c:strCache>
                <c:ptCount val="6"/>
                <c:pt idx="0">
                  <c:v>Ⅰ类</c:v>
                </c:pt>
                <c:pt idx="1">
                  <c:v>Ⅱ类</c:v>
                </c:pt>
                <c:pt idx="2">
                  <c:v>Ⅲ类</c:v>
                </c:pt>
                <c:pt idx="3">
                  <c:v>Ⅳ类</c:v>
                </c:pt>
                <c:pt idx="4">
                  <c:v>Ⅴ类</c:v>
                </c:pt>
                <c:pt idx="5">
                  <c:v>劣Ⅴ类</c:v>
                </c:pt>
              </c:strCache>
            </c:strRef>
          </c:cat>
          <c:val>
            <c:numRef>
              <c:f>全省地表水水质类别比例图!$B$1:$B$6</c:f>
              <c:numCache>
                <c:formatCode>General</c:formatCode>
                <c:ptCount val="6"/>
                <c:pt idx="0">
                  <c:v>0</c:v>
                </c:pt>
                <c:pt idx="1">
                  <c:v>38</c:v>
                </c:pt>
                <c:pt idx="2">
                  <c:v>19</c:v>
                </c:pt>
                <c:pt idx="3">
                  <c:v>14</c:v>
                </c:pt>
                <c:pt idx="4">
                  <c:v>7</c:v>
                </c:pt>
                <c:pt idx="5">
                  <c:v>22</c:v>
                </c:pt>
              </c:numCache>
            </c:numRef>
          </c:val>
        </c:ser>
        <c:dLbls>
          <c:showLegendKey val="0"/>
          <c:showVal val="1"/>
          <c:showCatName val="0"/>
          <c:showSerName val="0"/>
          <c:showPercent val="0"/>
          <c:showBubbleSize val="0"/>
          <c:showLeaderLines val="1"/>
        </c:dLbls>
        <c:firstSliceAng val="15"/>
      </c:pieChart>
      <c:spPr>
        <a:noFill/>
        <a:ln>
          <a:noFill/>
        </a:ln>
        <a:effectLst/>
      </c:spPr>
    </c:plotArea>
    <c:plotVisOnly val="1"/>
    <c:dispBlanksAs val="zero"/>
    <c:showDLblsOverMax val="0"/>
  </c:chart>
  <c:spPr>
    <a:noFill/>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zh-CN" altLang="en-US" sz="1000" b="1">
                <a:latin typeface="Times New Roman" panose="02020603050405020304" charset="0"/>
                <a:cs typeface="Times New Roman" panose="02020603050405020304" charset="0"/>
              </a:rPr>
              <a:t>图</a:t>
            </a:r>
            <a:r>
              <a:rPr lang="en-US" altLang="zh-CN" sz="1000" b="1">
                <a:latin typeface="Times New Roman" panose="02020603050405020304" charset="0"/>
                <a:cs typeface="Times New Roman" panose="02020603050405020304" charset="0"/>
              </a:rPr>
              <a:t>5    2017</a:t>
            </a:r>
            <a:r>
              <a:rPr lang="zh-CN" altLang="en-US" sz="1000" b="1">
                <a:latin typeface="Times New Roman" panose="02020603050405020304" charset="0"/>
                <a:cs typeface="Times New Roman" panose="02020603050405020304" charset="0"/>
              </a:rPr>
              <a:t>年山西省城市区域环境噪声平均等效声级</a:t>
            </a:r>
            <a:endParaRPr lang="zh-CN" altLang="en-US" sz="1000" b="1">
              <a:latin typeface="Times New Roman" panose="02020603050405020304" charset="0"/>
              <a:cs typeface="Times New Roman" panose="02020603050405020304" charset="0"/>
            </a:endParaRPr>
          </a:p>
        </c:rich>
      </c:tx>
      <c:layout>
        <c:manualLayout>
          <c:xMode val="edge"/>
          <c:yMode val="edge"/>
          <c:x val="0.231071906093881"/>
          <c:y val="0.916666666666667"/>
        </c:manualLayout>
      </c:layout>
      <c:overlay val="0"/>
    </c:title>
    <c:autoTitleDeleted val="0"/>
    <c:plotArea>
      <c:layout>
        <c:manualLayout>
          <c:layoutTarget val="inner"/>
          <c:xMode val="edge"/>
          <c:yMode val="edge"/>
          <c:x val="0.108855977015924"/>
          <c:y val="0.167811023622047"/>
          <c:w val="0.848346542326597"/>
          <c:h val="0.622566337409921"/>
        </c:manualLayout>
      </c:layout>
      <c:barChart>
        <c:barDir val="col"/>
        <c:grouping val="clustered"/>
        <c:varyColors val="0"/>
        <c:ser>
          <c:idx val="0"/>
          <c:order val="0"/>
          <c:tx>
            <c:strRef>
              <c:f>平均等效声级</c:f>
              <c:strCache>
                <c:ptCount val="1"/>
                <c:pt idx="0">
                  <c:v>平均等效声级</c:v>
                </c:pt>
              </c:strCache>
            </c:strRef>
          </c:tx>
          <c:invertIfNegative val="0"/>
          <c:dLbls>
            <c:delete val="1"/>
          </c:dLbls>
          <c:cat>
            <c:strRef>
              <c:f>'\2011\噪声\区域\前期数据核对\[区域统计.xls]作图'!$C$18:$C$29</c:f>
              <c:strCache>
                <c:ptCount val="12"/>
                <c:pt idx="0">
                  <c:v>太原</c:v>
                </c:pt>
                <c:pt idx="1">
                  <c:v>大同</c:v>
                </c:pt>
                <c:pt idx="2">
                  <c:v>阳泉</c:v>
                </c:pt>
                <c:pt idx="3">
                  <c:v>长治</c:v>
                </c:pt>
                <c:pt idx="4">
                  <c:v>晋城</c:v>
                </c:pt>
                <c:pt idx="5">
                  <c:v>朔州</c:v>
                </c:pt>
                <c:pt idx="6">
                  <c:v>晋中</c:v>
                </c:pt>
                <c:pt idx="7">
                  <c:v>运城</c:v>
                </c:pt>
                <c:pt idx="8">
                  <c:v>忻州</c:v>
                </c:pt>
                <c:pt idx="9">
                  <c:v>临汾</c:v>
                </c:pt>
                <c:pt idx="10">
                  <c:v>吕梁</c:v>
                </c:pt>
                <c:pt idx="11">
                  <c:v>全省</c:v>
                </c:pt>
              </c:strCache>
            </c:strRef>
          </c:cat>
          <c:val>
            <c:numRef>
              <c:f>区域!$D$9:$D$20</c:f>
              <c:numCache>
                <c:formatCode>0.0_ </c:formatCode>
                <c:ptCount val="12"/>
                <c:pt idx="0">
                  <c:v>53.2</c:v>
                </c:pt>
                <c:pt idx="1">
                  <c:v>51.3</c:v>
                </c:pt>
                <c:pt idx="2">
                  <c:v>54.2</c:v>
                </c:pt>
                <c:pt idx="3">
                  <c:v>52.1</c:v>
                </c:pt>
                <c:pt idx="4">
                  <c:v>53.3</c:v>
                </c:pt>
                <c:pt idx="5">
                  <c:v>54.2</c:v>
                </c:pt>
                <c:pt idx="6">
                  <c:v>51.7</c:v>
                </c:pt>
                <c:pt idx="7">
                  <c:v>48.7</c:v>
                </c:pt>
                <c:pt idx="8">
                  <c:v>52.5</c:v>
                </c:pt>
                <c:pt idx="9">
                  <c:v>52.4</c:v>
                </c:pt>
                <c:pt idx="10">
                  <c:v>54.4</c:v>
                </c:pt>
                <c:pt idx="11">
                  <c:v>52.8</c:v>
                </c:pt>
              </c:numCache>
            </c:numRef>
          </c:val>
        </c:ser>
        <c:dLbls>
          <c:showLegendKey val="0"/>
          <c:showVal val="0"/>
          <c:showCatName val="0"/>
          <c:showSerName val="0"/>
          <c:showPercent val="0"/>
          <c:showBubbleSize val="0"/>
        </c:dLbls>
        <c:gapWidth val="150"/>
        <c:axId val="143681024"/>
        <c:axId val="143682560"/>
      </c:barChart>
      <c:lineChart>
        <c:grouping val="standard"/>
        <c:varyColors val="0"/>
        <c:ser>
          <c:idx val="1"/>
          <c:order val="1"/>
          <c:tx>
            <c:strRef>
              <c:f>较好等级限值</c:f>
              <c:strCache>
                <c:ptCount val="1"/>
                <c:pt idx="0">
                  <c:v>较好等级限值</c:v>
                </c:pt>
              </c:strCache>
            </c:strRef>
          </c:tx>
          <c:spPr>
            <a:ln w="25400" cap="rnd" cmpd="sng" algn="ctr">
              <a:solidFill>
                <a:schemeClr val="accent2">
                  <a:shade val="95000"/>
                  <a:satMod val="105000"/>
                </a:schemeClr>
              </a:solidFill>
              <a:prstDash val="solid"/>
              <a:round/>
            </a:ln>
          </c:spPr>
          <c:marker>
            <c:symbol val="none"/>
          </c:marker>
          <c:dLbls>
            <c:delete val="1"/>
          </c:dLbls>
          <c:val>
            <c:numRef>
              <c:f>'\2011\噪声\区域\前期数据核对\[区域统计.xls]作图'!$E$18:$E$29</c:f>
              <c:numCache>
                <c:formatCode>General</c:formatCode>
                <c:ptCount val="12"/>
                <c:pt idx="0">
                  <c:v>55</c:v>
                </c:pt>
                <c:pt idx="1">
                  <c:v>55</c:v>
                </c:pt>
                <c:pt idx="2">
                  <c:v>55</c:v>
                </c:pt>
                <c:pt idx="3">
                  <c:v>55</c:v>
                </c:pt>
                <c:pt idx="4">
                  <c:v>55</c:v>
                </c:pt>
                <c:pt idx="5">
                  <c:v>55</c:v>
                </c:pt>
                <c:pt idx="6">
                  <c:v>55</c:v>
                </c:pt>
                <c:pt idx="7">
                  <c:v>55</c:v>
                </c:pt>
                <c:pt idx="8">
                  <c:v>55</c:v>
                </c:pt>
                <c:pt idx="9">
                  <c:v>55</c:v>
                </c:pt>
                <c:pt idx="10">
                  <c:v>55</c:v>
                </c:pt>
                <c:pt idx="11">
                  <c:v>55</c:v>
                </c:pt>
              </c:numCache>
            </c:numRef>
          </c:val>
          <c:smooth val="0"/>
        </c:ser>
        <c:ser>
          <c:idx val="2"/>
          <c:order val="2"/>
          <c:tx>
            <c:strRef>
              <c:f>好等级限值</c:f>
              <c:strCache>
                <c:ptCount val="1"/>
                <c:pt idx="0">
                  <c:v>好等级限值</c:v>
                </c:pt>
              </c:strCache>
            </c:strRef>
          </c:tx>
          <c:spPr>
            <a:ln w="25400" cap="rnd" cmpd="sng" algn="ctr">
              <a:solidFill>
                <a:schemeClr val="accent3">
                  <a:shade val="95000"/>
                  <a:satMod val="105000"/>
                </a:schemeClr>
              </a:solidFill>
              <a:prstDash val="solid"/>
              <a:round/>
            </a:ln>
          </c:spPr>
          <c:marker>
            <c:symbol val="none"/>
          </c:marker>
          <c:dLbls>
            <c:delete val="1"/>
          </c:dLbls>
          <c:val>
            <c:numRef>
              <c:f>区域!$F$9:$F$20</c:f>
              <c:numCache>
                <c:formatCode>General</c:formatCode>
                <c:ptCount val="12"/>
                <c:pt idx="0">
                  <c:v>50</c:v>
                </c:pt>
                <c:pt idx="1">
                  <c:v>50</c:v>
                </c:pt>
                <c:pt idx="2">
                  <c:v>50</c:v>
                </c:pt>
                <c:pt idx="3">
                  <c:v>50</c:v>
                </c:pt>
                <c:pt idx="4">
                  <c:v>50</c:v>
                </c:pt>
                <c:pt idx="5">
                  <c:v>50</c:v>
                </c:pt>
                <c:pt idx="6">
                  <c:v>50</c:v>
                </c:pt>
                <c:pt idx="7">
                  <c:v>50</c:v>
                </c:pt>
                <c:pt idx="8">
                  <c:v>50</c:v>
                </c:pt>
                <c:pt idx="9">
                  <c:v>50</c:v>
                </c:pt>
                <c:pt idx="10">
                  <c:v>50</c:v>
                </c:pt>
                <c:pt idx="11">
                  <c:v>50</c:v>
                </c:pt>
              </c:numCache>
            </c:numRef>
          </c:val>
          <c:smooth val="0"/>
        </c:ser>
        <c:dLbls>
          <c:showLegendKey val="0"/>
          <c:showVal val="0"/>
          <c:showCatName val="0"/>
          <c:showSerName val="0"/>
          <c:showPercent val="0"/>
          <c:showBubbleSize val="0"/>
        </c:dLbls>
        <c:marker val="0"/>
        <c:smooth val="0"/>
        <c:axId val="143681024"/>
        <c:axId val="143682560"/>
      </c:lineChart>
      <c:catAx>
        <c:axId val="143681024"/>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143682560"/>
        <c:crossesAt val="0"/>
        <c:auto val="1"/>
        <c:lblAlgn val="ctr"/>
        <c:lblOffset val="100"/>
        <c:tickLblSkip val="1"/>
        <c:noMultiLvlLbl val="0"/>
      </c:catAx>
      <c:valAx>
        <c:axId val="143682560"/>
        <c:scaling>
          <c:orientation val="minMax"/>
          <c:min val="0"/>
        </c:scaling>
        <c:delete val="0"/>
        <c:axPos val="l"/>
        <c:title>
          <c:tx>
            <c:rich>
              <a:bodyPr rot="0" spcFirstLastPara="0" vertOverflow="ellipsis" vert="horz" wrap="square" anchor="ctr" anchorCtr="1"/>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r>
                  <a:rPr lang="en-US" b="1"/>
                  <a:t>dB(A)</a:t>
                </a:r>
                <a:endParaRPr lang="en-US" b="1"/>
              </a:p>
            </c:rich>
          </c:tx>
          <c:layout>
            <c:manualLayout>
              <c:xMode val="edge"/>
              <c:yMode val="edge"/>
              <c:x val="0.0425077356900122"/>
              <c:y val="0.0649963090551191"/>
            </c:manualLayout>
          </c:layout>
          <c:overlay val="0"/>
        </c:title>
        <c:numFmt formatCode="0_ " sourceLinked="0"/>
        <c:majorTickMark val="in"/>
        <c:minorTickMark val="in"/>
        <c:tickLblPos val="nextTo"/>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143681024"/>
        <c:crosses val="autoZero"/>
        <c:crossBetween val="between"/>
        <c:minorUnit val="5"/>
      </c:valAx>
      <c:spPr>
        <a:noFill/>
      </c:spPr>
    </c:plotArea>
    <c:legend>
      <c:legendPos val="r"/>
      <c:layout>
        <c:manualLayout>
          <c:xMode val="edge"/>
          <c:yMode val="edge"/>
          <c:x val="0.163853538007791"/>
          <c:y val="0.114650590551181"/>
          <c:w val="0.674388811072024"/>
          <c:h val="0.086437828083989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noFill/>
    <a:ln w="9525" cap="flat" cmpd="sng" algn="ctr">
      <a:noFill/>
      <a:prstDash val="solid"/>
      <a:round/>
    </a:ln>
  </c:spPr>
  <c:txPr>
    <a:bodyPr/>
    <a:lstStyle/>
    <a:p>
      <a:pPr>
        <a:defRPr lang="zh-CN" sz="1000" b="0">
          <a:latin typeface="Times New Roman" panose="02020603050405020304" charset="0"/>
          <a:ea typeface="+mn-ea"/>
          <a:cs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zh-CN" altLang="en-US" sz="1000" b="1"/>
              <a:t>图</a:t>
            </a:r>
            <a:r>
              <a:rPr lang="en-US" altLang="zh-CN" sz="1000" b="1"/>
              <a:t>6    2017</a:t>
            </a:r>
            <a:r>
              <a:rPr lang="zh-CN" altLang="en-US" sz="1000" b="1"/>
              <a:t>年山西省城市道路交通噪声平均等效声级</a:t>
            </a:r>
            <a:endParaRPr lang="zh-CN" altLang="en-US" sz="1000" b="1"/>
          </a:p>
        </c:rich>
      </c:tx>
      <c:layout>
        <c:manualLayout>
          <c:xMode val="edge"/>
          <c:yMode val="edge"/>
          <c:x val="0.220775893711102"/>
          <c:y val="0.917573941317024"/>
        </c:manualLayout>
      </c:layout>
      <c:overlay val="0"/>
    </c:title>
    <c:autoTitleDeleted val="0"/>
    <c:plotArea>
      <c:layout>
        <c:manualLayout>
          <c:layoutTarget val="inner"/>
          <c:xMode val="edge"/>
          <c:yMode val="edge"/>
          <c:x val="0.108855977015924"/>
          <c:y val="0.167811023622047"/>
          <c:w val="0.848346542326597"/>
          <c:h val="0.623514905560473"/>
        </c:manualLayout>
      </c:layout>
      <c:barChart>
        <c:barDir val="col"/>
        <c:grouping val="clustered"/>
        <c:varyColors val="0"/>
        <c:ser>
          <c:idx val="0"/>
          <c:order val="0"/>
          <c:tx>
            <c:strRef>
              <c:f>平均等效声级</c:f>
              <c:strCache>
                <c:ptCount val="1"/>
                <c:pt idx="0">
                  <c:v>平均等效声级</c:v>
                </c:pt>
              </c:strCache>
            </c:strRef>
          </c:tx>
          <c:spPr>
            <a:solidFill>
              <a:srgbClr val="92D050"/>
            </a:solidFill>
          </c:spPr>
          <c:invertIfNegative val="0"/>
          <c:dLbls>
            <c:delete val="1"/>
          </c:dLbls>
          <c:cat>
            <c:strRef>
              <c:f>交通!$A$6:$A$17</c:f>
              <c:strCache>
                <c:ptCount val="12"/>
                <c:pt idx="0">
                  <c:v>太原</c:v>
                </c:pt>
                <c:pt idx="1">
                  <c:v>大同</c:v>
                </c:pt>
                <c:pt idx="2">
                  <c:v>阳泉</c:v>
                </c:pt>
                <c:pt idx="3">
                  <c:v>长治</c:v>
                </c:pt>
                <c:pt idx="4">
                  <c:v>晋城</c:v>
                </c:pt>
                <c:pt idx="5">
                  <c:v>朔州</c:v>
                </c:pt>
                <c:pt idx="6">
                  <c:v>晋中</c:v>
                </c:pt>
                <c:pt idx="7">
                  <c:v>运城</c:v>
                </c:pt>
                <c:pt idx="8">
                  <c:v>忻州</c:v>
                </c:pt>
                <c:pt idx="9">
                  <c:v>临汾</c:v>
                </c:pt>
                <c:pt idx="10">
                  <c:v>吕梁</c:v>
                </c:pt>
                <c:pt idx="11">
                  <c:v>全省</c:v>
                </c:pt>
              </c:strCache>
            </c:strRef>
          </c:cat>
          <c:val>
            <c:numRef>
              <c:f>交通!$B$6:$B$17</c:f>
              <c:numCache>
                <c:formatCode>0.0_ </c:formatCode>
                <c:ptCount val="12"/>
                <c:pt idx="0">
                  <c:v>67.8</c:v>
                </c:pt>
                <c:pt idx="1">
                  <c:v>66.9</c:v>
                </c:pt>
                <c:pt idx="2">
                  <c:v>66.3</c:v>
                </c:pt>
                <c:pt idx="3">
                  <c:v>66.7</c:v>
                </c:pt>
                <c:pt idx="4">
                  <c:v>63.3</c:v>
                </c:pt>
                <c:pt idx="5">
                  <c:v>68.9</c:v>
                </c:pt>
                <c:pt idx="6">
                  <c:v>60.5</c:v>
                </c:pt>
                <c:pt idx="7">
                  <c:v>66.4</c:v>
                </c:pt>
                <c:pt idx="8">
                  <c:v>62.5</c:v>
                </c:pt>
                <c:pt idx="9">
                  <c:v>69.9</c:v>
                </c:pt>
                <c:pt idx="10">
                  <c:v>63</c:v>
                </c:pt>
                <c:pt idx="11">
                  <c:v>65.2</c:v>
                </c:pt>
              </c:numCache>
            </c:numRef>
          </c:val>
        </c:ser>
        <c:dLbls>
          <c:showLegendKey val="0"/>
          <c:showVal val="0"/>
          <c:showCatName val="0"/>
          <c:showSerName val="0"/>
          <c:showPercent val="0"/>
          <c:showBubbleSize val="0"/>
        </c:dLbls>
        <c:gapWidth val="150"/>
        <c:axId val="143946880"/>
        <c:axId val="143948416"/>
      </c:barChart>
      <c:lineChart>
        <c:grouping val="standard"/>
        <c:varyColors val="0"/>
        <c:ser>
          <c:idx val="1"/>
          <c:order val="1"/>
          <c:tx>
            <c:strRef>
              <c:f>好等级限值</c:f>
              <c:strCache>
                <c:ptCount val="1"/>
                <c:pt idx="0">
                  <c:v>好等级限值</c:v>
                </c:pt>
              </c:strCache>
            </c:strRef>
          </c:tx>
          <c:spPr>
            <a:ln w="25400" cap="rnd" cmpd="sng" algn="ctr">
              <a:solidFill>
                <a:srgbClr val="98B954"/>
              </a:solidFill>
              <a:prstDash val="solid"/>
              <a:round/>
            </a:ln>
          </c:spPr>
          <c:marker>
            <c:symbol val="none"/>
          </c:marker>
          <c:dLbls>
            <c:delete val="1"/>
          </c:dLbls>
          <c:cat>
            <c:strRef>
              <c:f>交通!$A$6:$A$17</c:f>
              <c:strCache>
                <c:ptCount val="12"/>
                <c:pt idx="0">
                  <c:v>太原</c:v>
                </c:pt>
                <c:pt idx="1">
                  <c:v>大同</c:v>
                </c:pt>
                <c:pt idx="2">
                  <c:v>阳泉</c:v>
                </c:pt>
                <c:pt idx="3">
                  <c:v>长治</c:v>
                </c:pt>
                <c:pt idx="4">
                  <c:v>晋城</c:v>
                </c:pt>
                <c:pt idx="5">
                  <c:v>朔州</c:v>
                </c:pt>
                <c:pt idx="6">
                  <c:v>晋中</c:v>
                </c:pt>
                <c:pt idx="7">
                  <c:v>运城</c:v>
                </c:pt>
                <c:pt idx="8">
                  <c:v>忻州</c:v>
                </c:pt>
                <c:pt idx="9">
                  <c:v>临汾</c:v>
                </c:pt>
                <c:pt idx="10">
                  <c:v>吕梁</c:v>
                </c:pt>
                <c:pt idx="11">
                  <c:v>全省</c:v>
                </c:pt>
              </c:strCache>
            </c:strRef>
          </c:cat>
          <c:val>
            <c:numRef>
              <c:f>交通!$C$6:$C$17</c:f>
              <c:numCache>
                <c:formatCode>General</c:formatCode>
                <c:ptCount val="12"/>
                <c:pt idx="0">
                  <c:v>68</c:v>
                </c:pt>
                <c:pt idx="1">
                  <c:v>68</c:v>
                </c:pt>
                <c:pt idx="2">
                  <c:v>68</c:v>
                </c:pt>
                <c:pt idx="3">
                  <c:v>68</c:v>
                </c:pt>
                <c:pt idx="4">
                  <c:v>68</c:v>
                </c:pt>
                <c:pt idx="5">
                  <c:v>68</c:v>
                </c:pt>
                <c:pt idx="6">
                  <c:v>68</c:v>
                </c:pt>
                <c:pt idx="7">
                  <c:v>68</c:v>
                </c:pt>
                <c:pt idx="8">
                  <c:v>68</c:v>
                </c:pt>
                <c:pt idx="9">
                  <c:v>68</c:v>
                </c:pt>
                <c:pt idx="10">
                  <c:v>68</c:v>
                </c:pt>
                <c:pt idx="11">
                  <c:v>68</c:v>
                </c:pt>
              </c:numCache>
            </c:numRef>
          </c:val>
          <c:smooth val="0"/>
        </c:ser>
        <c:ser>
          <c:idx val="2"/>
          <c:order val="2"/>
          <c:tx>
            <c:strRef>
              <c:f>较好等级限值</c:f>
              <c:strCache>
                <c:ptCount val="1"/>
                <c:pt idx="0">
                  <c:v>较好等级限值</c:v>
                </c:pt>
              </c:strCache>
            </c:strRef>
          </c:tx>
          <c:spPr>
            <a:ln w="31750" cap="rnd" cmpd="sng" algn="ctr">
              <a:solidFill>
                <a:srgbClr val="BE4B48"/>
              </a:solidFill>
              <a:prstDash val="solid"/>
              <a:round/>
            </a:ln>
          </c:spPr>
          <c:marker>
            <c:symbol val="none"/>
          </c:marker>
          <c:dLbls>
            <c:delete val="1"/>
          </c:dLbls>
          <c:val>
            <c:numRef>
              <c:f>交通!$D$6:$D$17</c:f>
              <c:numCache>
                <c:formatCode>General</c:formatCode>
                <c:ptCount val="12"/>
                <c:pt idx="0">
                  <c:v>70</c:v>
                </c:pt>
                <c:pt idx="1">
                  <c:v>70</c:v>
                </c:pt>
                <c:pt idx="2">
                  <c:v>70</c:v>
                </c:pt>
                <c:pt idx="3">
                  <c:v>70</c:v>
                </c:pt>
                <c:pt idx="4">
                  <c:v>70</c:v>
                </c:pt>
                <c:pt idx="5">
                  <c:v>70</c:v>
                </c:pt>
                <c:pt idx="6">
                  <c:v>70</c:v>
                </c:pt>
                <c:pt idx="7">
                  <c:v>70</c:v>
                </c:pt>
                <c:pt idx="8">
                  <c:v>70</c:v>
                </c:pt>
                <c:pt idx="9">
                  <c:v>70</c:v>
                </c:pt>
                <c:pt idx="10">
                  <c:v>70</c:v>
                </c:pt>
                <c:pt idx="11">
                  <c:v>70</c:v>
                </c:pt>
              </c:numCache>
            </c:numRef>
          </c:val>
          <c:smooth val="0"/>
        </c:ser>
        <c:dLbls>
          <c:showLegendKey val="0"/>
          <c:showVal val="0"/>
          <c:showCatName val="0"/>
          <c:showSerName val="0"/>
          <c:showPercent val="0"/>
          <c:showBubbleSize val="0"/>
        </c:dLbls>
        <c:marker val="0"/>
        <c:smooth val="0"/>
        <c:axId val="143946880"/>
        <c:axId val="143948416"/>
      </c:lineChart>
      <c:catAx>
        <c:axId val="143946880"/>
        <c:scaling>
          <c:orientation val="minMax"/>
        </c:scaling>
        <c:delete val="0"/>
        <c:axPos val="b"/>
        <c:numFmt formatCode="General" sourceLinked="1"/>
        <c:majorTickMark val="in"/>
        <c:minorTickMark val="none"/>
        <c:tickLblPos val="nextTo"/>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143948416"/>
        <c:crossesAt val="0"/>
        <c:auto val="1"/>
        <c:lblAlgn val="ctr"/>
        <c:lblOffset val="100"/>
        <c:tickLblSkip val="1"/>
        <c:noMultiLvlLbl val="0"/>
      </c:catAx>
      <c:valAx>
        <c:axId val="143948416"/>
        <c:scaling>
          <c:orientation val="minMax"/>
          <c:max val="70"/>
          <c:min val="0"/>
        </c:scaling>
        <c:delete val="0"/>
        <c:axPos val="l"/>
        <c:title>
          <c:tx>
            <c:rich>
              <a:bodyPr rot="0" spcFirstLastPara="0" vertOverflow="ellipsis" vert="horz" wrap="square" anchor="ctr" anchorCtr="1"/>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r>
                  <a:rPr lang="en-US" b="1"/>
                  <a:t>dB(A)</a:t>
                </a:r>
                <a:endParaRPr lang="en-US" b="1"/>
              </a:p>
            </c:rich>
          </c:tx>
          <c:layout>
            <c:manualLayout>
              <c:xMode val="edge"/>
              <c:yMode val="edge"/>
              <c:x val="0.045081738785707"/>
              <c:y val="0.0597880675363352"/>
            </c:manualLayout>
          </c:layout>
          <c:overlay val="0"/>
        </c:title>
        <c:numFmt formatCode="0_ " sourceLinked="0"/>
        <c:majorTickMark val="in"/>
        <c:minorTickMark val="in"/>
        <c:tickLblPos val="nextTo"/>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143946880"/>
        <c:crosses val="autoZero"/>
        <c:crossBetween val="between"/>
        <c:majorUnit val="10"/>
        <c:minorUnit val="10"/>
      </c:valAx>
      <c:spPr>
        <a:noFill/>
      </c:spPr>
    </c:plotArea>
    <c:legend>
      <c:legendPos val="r"/>
      <c:layout>
        <c:manualLayout>
          <c:xMode val="edge"/>
          <c:yMode val="edge"/>
          <c:x val="0.210185593730296"/>
          <c:y val="0.0806577349473107"/>
          <c:w val="0.643500773923687"/>
          <c:h val="0.072617228816549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noFill/>
    <a:ln w="9525" cap="flat" cmpd="sng" algn="ctr">
      <a:noFill/>
      <a:prstDash val="solid"/>
      <a:round/>
    </a:ln>
  </c:spPr>
  <c:txPr>
    <a:bodyPr/>
    <a:lstStyle/>
    <a:p>
      <a:pPr>
        <a:defRPr lang="zh-CN" sz="1000" b="0">
          <a:latin typeface="Times New Roman" panose="02020603050405020304" charset="0"/>
          <a:ea typeface="+mn-ea"/>
          <a:cs typeface="Times New Roman" panose="02020603050405020304"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r>
              <a:rPr lang="zh-CN" altLang="en-US" sz="1000" b="1">
                <a:latin typeface="Times New Roman" panose="02020603050405020304" charset="0"/>
                <a:ea typeface="+mn-ea"/>
                <a:cs typeface="Times New Roman" panose="02020603050405020304" charset="0"/>
              </a:rPr>
              <a:t>图</a:t>
            </a:r>
            <a:r>
              <a:rPr lang="en-US" altLang="zh-CN" sz="1000" b="1">
                <a:latin typeface="Times New Roman" panose="02020603050405020304" charset="0"/>
                <a:ea typeface="+mn-ea"/>
                <a:cs typeface="Times New Roman" panose="02020603050405020304" charset="0"/>
              </a:rPr>
              <a:t>7  2017</a:t>
            </a:r>
            <a:r>
              <a:rPr lang="zh-CN" altLang="en-US" sz="1000" b="1">
                <a:latin typeface="Times New Roman" panose="02020603050405020304" charset="0"/>
                <a:ea typeface="+mn-ea"/>
                <a:cs typeface="Times New Roman" panose="02020603050405020304" charset="0"/>
              </a:rPr>
              <a:t>年</a:t>
            </a:r>
            <a:r>
              <a:rPr lang="en-US" altLang="zh-CN" sz="1000" b="1">
                <a:latin typeface="Times New Roman" panose="02020603050405020304" charset="0"/>
                <a:ea typeface="+mn-ea"/>
                <a:cs typeface="Times New Roman" panose="02020603050405020304" charset="0"/>
              </a:rPr>
              <a:t>11</a:t>
            </a:r>
            <a:r>
              <a:rPr lang="zh-CN" altLang="en-US" sz="1000" b="1">
                <a:latin typeface="Times New Roman" panose="02020603050405020304" charset="0"/>
                <a:ea typeface="+mn-ea"/>
                <a:cs typeface="Times New Roman" panose="02020603050405020304" charset="0"/>
              </a:rPr>
              <a:t>个地级市城市功能区噪声昼、夜间达标情况</a:t>
            </a:r>
            <a:endParaRPr lang="zh-CN" sz="1000" b="1">
              <a:latin typeface="Times New Roman" panose="02020603050405020304" charset="0"/>
              <a:ea typeface="+mn-ea"/>
              <a:cs typeface="Times New Roman" panose="02020603050405020304" charset="0"/>
            </a:endParaRPr>
          </a:p>
        </c:rich>
      </c:tx>
      <c:layout>
        <c:manualLayout>
          <c:xMode val="edge"/>
          <c:yMode val="edge"/>
          <c:x val="0.23520877612427"/>
          <c:y val="0.911492403748503"/>
        </c:manualLayout>
      </c:layout>
      <c:overlay val="0"/>
    </c:title>
    <c:autoTitleDeleted val="0"/>
    <c:plotArea>
      <c:layout>
        <c:manualLayout>
          <c:layoutTarget val="inner"/>
          <c:xMode val="edge"/>
          <c:yMode val="edge"/>
          <c:x val="0.114571734473128"/>
          <c:y val="0.124646114150986"/>
          <c:w val="0.840504810392692"/>
          <c:h val="0.628436281338914"/>
        </c:manualLayout>
      </c:layout>
      <c:barChart>
        <c:barDir val="col"/>
        <c:grouping val="clustered"/>
        <c:varyColors val="0"/>
        <c:ser>
          <c:idx val="2"/>
          <c:order val="0"/>
          <c:tx>
            <c:strRef>
              <c:f>Sheet3!$O$69</c:f>
              <c:strCache>
                <c:ptCount val="1"/>
                <c:pt idx="0">
                  <c:v>昼间</c:v>
                </c:pt>
              </c:strCache>
            </c:strRef>
          </c:tx>
          <c:spPr>
            <a:solidFill>
              <a:srgbClr val="4A7EBB"/>
            </a:solidFill>
            <a:scene3d>
              <a:camera prst="orthographicFront"/>
              <a:lightRig rig="threePt" dir="t">
                <a:rot lat="0" lon="0" rev="1200000"/>
              </a:lightRig>
            </a:scene3d>
            <a:sp3d>
              <a:bevelT w="63500" h="25400"/>
            </a:sp3d>
          </c:spPr>
          <c:invertIfNegative val="0"/>
          <c:dLbls>
            <c:delete val="1"/>
          </c:dLbls>
          <c:cat>
            <c:strRef>
              <c:f>Sheet3!$Q$70:$Q$80</c:f>
              <c:strCache>
                <c:ptCount val="11"/>
                <c:pt idx="0">
                  <c:v>太原</c:v>
                </c:pt>
                <c:pt idx="1">
                  <c:v>大同</c:v>
                </c:pt>
                <c:pt idx="2">
                  <c:v>阳泉</c:v>
                </c:pt>
                <c:pt idx="3">
                  <c:v>长治</c:v>
                </c:pt>
                <c:pt idx="4">
                  <c:v>晋城</c:v>
                </c:pt>
                <c:pt idx="5">
                  <c:v>朔州</c:v>
                </c:pt>
                <c:pt idx="6">
                  <c:v>晋中</c:v>
                </c:pt>
                <c:pt idx="7">
                  <c:v>运城</c:v>
                </c:pt>
                <c:pt idx="8">
                  <c:v>忻州</c:v>
                </c:pt>
                <c:pt idx="9">
                  <c:v>临汾</c:v>
                </c:pt>
                <c:pt idx="10">
                  <c:v>吕梁</c:v>
                </c:pt>
              </c:strCache>
            </c:strRef>
          </c:cat>
          <c:val>
            <c:numRef>
              <c:f>Sheet3!$O$70:$O$80</c:f>
              <c:numCache>
                <c:formatCode>General</c:formatCode>
                <c:ptCount val="11"/>
                <c:pt idx="0">
                  <c:v>100</c:v>
                </c:pt>
                <c:pt idx="1">
                  <c:v>59.4</c:v>
                </c:pt>
                <c:pt idx="2">
                  <c:v>85.7</c:v>
                </c:pt>
                <c:pt idx="3">
                  <c:v>96.9</c:v>
                </c:pt>
                <c:pt idx="4">
                  <c:v>100</c:v>
                </c:pt>
                <c:pt idx="5">
                  <c:v>50</c:v>
                </c:pt>
                <c:pt idx="6">
                  <c:v>68.8</c:v>
                </c:pt>
                <c:pt idx="7">
                  <c:v>100</c:v>
                </c:pt>
                <c:pt idx="8">
                  <c:v>97.7</c:v>
                </c:pt>
                <c:pt idx="9">
                  <c:v>95</c:v>
                </c:pt>
                <c:pt idx="10">
                  <c:v>100</c:v>
                </c:pt>
              </c:numCache>
            </c:numRef>
          </c:val>
        </c:ser>
        <c:ser>
          <c:idx val="3"/>
          <c:order val="1"/>
          <c:tx>
            <c:strRef>
              <c:f>Sheet3!$P$69</c:f>
              <c:strCache>
                <c:ptCount val="1"/>
                <c:pt idx="0">
                  <c:v>夜间</c:v>
                </c:pt>
              </c:strCache>
            </c:strRef>
          </c:tx>
          <c:spPr>
            <a:solidFill>
              <a:srgbClr val="BE4B48"/>
            </a:solidFill>
            <a:scene3d>
              <a:camera prst="orthographicFront"/>
              <a:lightRig rig="threePt" dir="t">
                <a:rot lat="0" lon="0" rev="1200000"/>
              </a:lightRig>
            </a:scene3d>
            <a:sp3d>
              <a:bevelT w="63500" h="25400"/>
            </a:sp3d>
          </c:spPr>
          <c:invertIfNegative val="0"/>
          <c:dLbls>
            <c:delete val="1"/>
          </c:dLbls>
          <c:cat>
            <c:strRef>
              <c:f>Sheet3!$Q$70:$Q$80</c:f>
              <c:strCache>
                <c:ptCount val="11"/>
                <c:pt idx="0">
                  <c:v>太原</c:v>
                </c:pt>
                <c:pt idx="1">
                  <c:v>大同</c:v>
                </c:pt>
                <c:pt idx="2">
                  <c:v>阳泉</c:v>
                </c:pt>
                <c:pt idx="3">
                  <c:v>长治</c:v>
                </c:pt>
                <c:pt idx="4">
                  <c:v>晋城</c:v>
                </c:pt>
                <c:pt idx="5">
                  <c:v>朔州</c:v>
                </c:pt>
                <c:pt idx="6">
                  <c:v>晋中</c:v>
                </c:pt>
                <c:pt idx="7">
                  <c:v>运城</c:v>
                </c:pt>
                <c:pt idx="8">
                  <c:v>忻州</c:v>
                </c:pt>
                <c:pt idx="9">
                  <c:v>临汾</c:v>
                </c:pt>
                <c:pt idx="10">
                  <c:v>吕梁</c:v>
                </c:pt>
              </c:strCache>
            </c:strRef>
          </c:cat>
          <c:val>
            <c:numRef>
              <c:f>Sheet3!$P$70:$P$80</c:f>
              <c:numCache>
                <c:formatCode>General</c:formatCode>
                <c:ptCount val="11"/>
                <c:pt idx="0">
                  <c:v>69.4</c:v>
                </c:pt>
                <c:pt idx="1">
                  <c:v>43.8</c:v>
                </c:pt>
                <c:pt idx="2">
                  <c:v>60.7</c:v>
                </c:pt>
                <c:pt idx="3">
                  <c:v>84.4</c:v>
                </c:pt>
                <c:pt idx="4">
                  <c:v>100</c:v>
                </c:pt>
                <c:pt idx="5">
                  <c:v>75</c:v>
                </c:pt>
                <c:pt idx="6">
                  <c:v>59.4</c:v>
                </c:pt>
                <c:pt idx="7">
                  <c:v>100</c:v>
                </c:pt>
                <c:pt idx="8">
                  <c:v>93.2</c:v>
                </c:pt>
                <c:pt idx="9">
                  <c:v>80</c:v>
                </c:pt>
                <c:pt idx="10">
                  <c:v>81.3</c:v>
                </c:pt>
              </c:numCache>
            </c:numRef>
          </c:val>
        </c:ser>
        <c:dLbls>
          <c:showLegendKey val="0"/>
          <c:showVal val="0"/>
          <c:showCatName val="0"/>
          <c:showSerName val="0"/>
          <c:showPercent val="0"/>
          <c:showBubbleSize val="0"/>
        </c:dLbls>
        <c:gapWidth val="166"/>
        <c:axId val="144018816"/>
        <c:axId val="144036992"/>
      </c:barChart>
      <c:catAx>
        <c:axId val="144018816"/>
        <c:scaling>
          <c:orientation val="minMax"/>
        </c:scaling>
        <c:delete val="0"/>
        <c:axPos val="b"/>
        <c:numFmt formatCode="General" sourceLinked="1"/>
        <c:majorTickMark val="in"/>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144036992"/>
        <c:crosses val="autoZero"/>
        <c:auto val="1"/>
        <c:lblAlgn val="ctr"/>
        <c:lblOffset val="100"/>
        <c:noMultiLvlLbl val="0"/>
      </c:catAx>
      <c:valAx>
        <c:axId val="144036992"/>
        <c:scaling>
          <c:orientation val="minMax"/>
          <c:max val="100"/>
          <c:min val="0"/>
        </c:scaling>
        <c:delete val="0"/>
        <c:axPos val="l"/>
        <c:title>
          <c:tx>
            <c:rich>
              <a:bodyPr rot="0" spcFirstLastPara="0" vertOverflow="ellipsis" vert="eaVert" wrap="square" anchor="ctr" anchorCtr="1"/>
              <a:lstStyle/>
              <a:p>
                <a:pPr>
                  <a:defRPr lang="zh-CN" sz="1000" b="1" i="0" u="none" strike="noStrike" kern="1200" baseline="0">
                    <a:solidFill>
                      <a:schemeClr val="tx1"/>
                    </a:solidFill>
                    <a:latin typeface="Times New Roman" panose="02020603050405020304" charset="0"/>
                    <a:ea typeface="+mn-ea"/>
                    <a:cs typeface="Times New Roman" panose="02020603050405020304" charset="0"/>
                  </a:defRPr>
                </a:pPr>
                <a:r>
                  <a:rPr lang="zh-CN" altLang="en-US" sz="1000" b="1" i="0" baseline="0">
                    <a:latin typeface="Times New Roman" panose="02020603050405020304" charset="0"/>
                    <a:ea typeface="+mn-ea"/>
                    <a:cs typeface="Times New Roman" panose="02020603050405020304" charset="0"/>
                  </a:rPr>
                  <a:t>达标率（</a:t>
                </a:r>
                <a:r>
                  <a:rPr lang="en-US" altLang="zh-CN" sz="1000" b="1" i="0" baseline="0">
                    <a:latin typeface="Times New Roman" panose="02020603050405020304" charset="0"/>
                    <a:ea typeface="+mn-ea"/>
                    <a:cs typeface="Times New Roman" panose="02020603050405020304" charset="0"/>
                  </a:rPr>
                  <a:t>%</a:t>
                </a:r>
                <a:r>
                  <a:rPr lang="zh-CN" altLang="en-US" sz="1000" b="1" i="0" baseline="0">
                    <a:latin typeface="Times New Roman" panose="02020603050405020304" charset="0"/>
                    <a:ea typeface="+mn-ea"/>
                    <a:cs typeface="Times New Roman" panose="02020603050405020304" charset="0"/>
                  </a:rPr>
                  <a:t>）</a:t>
                </a:r>
                <a:endParaRPr lang="en-US" sz="1000" b="1" i="0" baseline="0">
                  <a:latin typeface="Times New Roman" panose="02020603050405020304" charset="0"/>
                  <a:ea typeface="+mn-ea"/>
                  <a:cs typeface="Times New Roman" panose="02020603050405020304" charset="0"/>
                </a:endParaRPr>
              </a:p>
            </c:rich>
          </c:tx>
          <c:layout>
            <c:manualLayout>
              <c:xMode val="edge"/>
              <c:yMode val="edge"/>
              <c:x val="0.0239808873530945"/>
              <c:y val="0.31577374975779"/>
            </c:manualLayout>
          </c:layout>
          <c:overlay val="0"/>
        </c:title>
        <c:numFmt formatCode="General" sourceLinked="0"/>
        <c:majorTickMark val="in"/>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144018816"/>
        <c:crosses val="autoZero"/>
        <c:crossBetween val="between"/>
        <c:majorUnit val="20"/>
      </c:valAx>
      <c:spPr>
        <a:noFill/>
        <a:ln>
          <a:noFill/>
        </a:ln>
      </c:spPr>
    </c:plotArea>
    <c:legend>
      <c:legendPos val="t"/>
      <c:layout>
        <c:manualLayout>
          <c:xMode val="edge"/>
          <c:yMode val="edge"/>
          <c:x val="0.486288892825355"/>
          <c:y val="0.0341775410970095"/>
          <c:w val="0.173994130536398"/>
          <c:h val="0.1841692878842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noFill/>
    <a:ln w="9525" cap="flat" cmpd="sng" algn="ctr">
      <a:noFill/>
      <a:prstDash val="solid"/>
      <a:round/>
    </a:ln>
  </c:spPr>
  <c:txPr>
    <a:bodyPr/>
    <a:lstStyle/>
    <a:p>
      <a:pPr>
        <a:defRPr lang="zh-CN" sz="900">
          <a:latin typeface="Times New Roman" panose="02020603050405020304" charset="0"/>
          <a:cs typeface="Times New Roman" panose="02020603050405020304" charset="0"/>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9D36F-E838-4BBF-9357-33E5DB5199CA}">
  <ds:schemaRefs/>
</ds:datastoreItem>
</file>

<file path=docProps/app.xml><?xml version="1.0" encoding="utf-8"?>
<Properties xmlns="http://schemas.openxmlformats.org/officeDocument/2006/extended-properties" xmlns:vt="http://schemas.openxmlformats.org/officeDocument/2006/docPropsVTypes">
  <Template>Normal</Template>
  <Pages>32</Pages>
  <Words>2349</Words>
  <Characters>13391</Characters>
  <Lines>111</Lines>
  <Paragraphs>31</Paragraphs>
  <TotalTime>8</TotalTime>
  <ScaleCrop>false</ScaleCrop>
  <LinksUpToDate>false</LinksUpToDate>
  <CharactersWithSpaces>15709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2017-08-10T08:46:00Z</dcterms:created>
  <dc:creator>Administrator</dc:creator>
  <cp:lastModifiedBy>Lenovo</cp:lastModifiedBy>
  <dcterms:modified xsi:type="dcterms:W3CDTF">2018-05-09T07:31:40Z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