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0"/>
        </w:rPr>
      </w:pPr>
      <w:r>
        <w:rPr>
          <w:rFonts w:hint="eastAsia"/>
          <w:b/>
          <w:sz w:val="32"/>
          <w:szCs w:val="30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0"/>
        </w:rPr>
        <w:t>201</w:t>
      </w:r>
      <w:r>
        <w:rPr>
          <w:rFonts w:hint="eastAsia" w:ascii="宋体" w:hAnsi="宋体" w:eastAsia="宋体"/>
          <w:b/>
          <w:sz w:val="32"/>
          <w:szCs w:val="30"/>
          <w:lang w:val="en-US" w:eastAsia="zh-CN"/>
        </w:rPr>
        <w:t>9</w:t>
      </w:r>
      <w:r>
        <w:rPr>
          <w:rFonts w:hint="eastAsia" w:ascii="宋体" w:hAnsi="宋体" w:eastAsia="宋体"/>
          <w:b/>
          <w:sz w:val="32"/>
          <w:szCs w:val="30"/>
        </w:rPr>
        <w:t>年</w:t>
      </w:r>
      <w:r>
        <w:rPr>
          <w:rFonts w:hint="eastAsia" w:ascii="宋体" w:hAnsi="宋体"/>
          <w:b/>
          <w:sz w:val="32"/>
          <w:szCs w:val="30"/>
          <w:lang w:val="en-US" w:eastAsia="zh-CN"/>
        </w:rPr>
        <w:t>11月-2020年3月山西省生态环境厅辐射安全</w:t>
      </w:r>
      <w:r>
        <w:rPr>
          <w:rFonts w:hint="eastAsia" w:ascii="宋体" w:hAnsi="宋体" w:eastAsia="宋体"/>
          <w:b/>
          <w:sz w:val="32"/>
          <w:szCs w:val="30"/>
        </w:rPr>
        <w:t>许可证</w:t>
      </w:r>
      <w:r>
        <w:rPr>
          <w:rFonts w:hint="eastAsia" w:ascii="宋体" w:hAnsi="宋体"/>
          <w:b/>
          <w:sz w:val="32"/>
          <w:szCs w:val="30"/>
          <w:lang w:eastAsia="zh-CN"/>
        </w:rPr>
        <w:t>发</w:t>
      </w:r>
      <w:r>
        <w:rPr>
          <w:rFonts w:hint="eastAsia" w:ascii="宋体" w:hAnsi="宋体" w:eastAsia="宋体"/>
          <w:b/>
          <w:sz w:val="32"/>
          <w:szCs w:val="30"/>
          <w:lang w:eastAsia="zh-CN"/>
        </w:rPr>
        <w:t>放情况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275"/>
        <w:gridCol w:w="1560"/>
        <w:gridCol w:w="855"/>
        <w:gridCol w:w="1080"/>
        <w:gridCol w:w="960"/>
        <w:gridCol w:w="4185"/>
        <w:gridCol w:w="1020"/>
        <w:gridCol w:w="169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单位名称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地址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证书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发证日期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有效期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延续至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许可种类和范围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批准时间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延续批准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文号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0" w:hRule="atLeast"/>
        </w:trPr>
        <w:tc>
          <w:tcPr>
            <w:tcW w:w="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太原钢铁（集团）有限公司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太原市尖草坪区2号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val="en-US" w:eastAsia="zh-CN"/>
              </w:rPr>
              <w:t>00256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2020.3.5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2025.3.17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使用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instrText xml:space="preserve"> = 3 \* ROMAN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III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instrText xml:space="preserve"> = 4 \* ROMAN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IV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instrText xml:space="preserve"> = 5 \* ROMAN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V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类放射源；使用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instrText xml:space="preserve"> = 2 \* ROMAN \* MERGEFORMAT </w:instrTex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II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、III类射线装置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snapToGrid/>
                <w:color w:val="161616"/>
                <w:sz w:val="21"/>
                <w:szCs w:val="21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2020.03.05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晋环辐审【20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001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延续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C63FD"/>
    <w:rsid w:val="0D8C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2020-04-20T08:14:00Z</dcterms:created>
  <dc:creator>luhji</dc:creator>
  <cp:lastModifiedBy>luhji</cp:lastModifiedBy>
  <dcterms:modified xsi:type="dcterms:W3CDTF">2020-04-20T08:27:29Z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